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Yıllık İzin Ücreti Ödeme Formu</w:t>
      </w:r>
    </w:p>
    <w:p>
      <w:pPr>
        <w:pBdr>
          <w:bottom w:val="single" w:color="13B8A7" w:sz="12" w:space="8"/>
        </w:pBdr>
        <w:spacing w:after="220"/>
      </w:pPr>
      <w:r>
        <w:rPr>
          <w:rFonts w:ascii="Calibri" w:cs="Calibri" w:eastAsia="Calibri" w:hAnsi="Calibri"/>
          <w:color w:val="5A6B82"/>
          <w:sz w:val="21"/>
          <w:szCs w:val="21"/>
        </w:rPr>
        <w:t xml:space="preserve">Yıllık izne çıkan çalışana izin ücretinin peşin / avans ödenmesini ve iş sözleşmesi sona erdiğinde kullanılmayan izin ücretinin hesaplanmasını belgeler.</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IBAN</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Ödeme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 İzne çıkışta izin ücretinin peşin ödenmesi / avans verilmesi (İK md. 57)</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 İş sözleşmesinin sona ermesinde kullanılmayan izin ücreti (İK md. 59)</w:t>
      </w:r>
    </w:p>
    <w:p>
      <w:pPr>
        <w:keepNext/>
        <w:pBdr>
          <w:bottom w:val="single" w:color="DCE4EE" w:sz="6" w:space="4"/>
        </w:pBdr>
        <w:spacing w:before="280" w:after="120"/>
      </w:pPr>
      <w:r>
        <w:rPr>
          <w:rFonts w:ascii="Calibri" w:cs="Calibri" w:eastAsia="Calibri" w:hAnsi="Calibri"/>
          <w:b/>
          <w:bCs/>
          <w:color w:val="0E2849"/>
          <w:sz w:val="25"/>
          <w:szCs w:val="25"/>
        </w:rPr>
        <w:t xml:space="preserve">A) İzne Çıkışta Ödeme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Başlangıç – Bitiş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Süresi (gün)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Günlük Brüt Ücret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Ücreti (brüt)</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Şekli (peşin / avans)</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Avans olarak ödenen tutar, iznin ait olduğu ayın bordrosunda mahsup edilecektir: ☐ Evet ☐ Hayır</w:t>
      </w:r>
    </w:p>
    <w:p>
      <w:pPr>
        <w:keepNext/>
        <w:pBdr>
          <w:bottom w:val="single" w:color="DCE4EE" w:sz="6" w:space="4"/>
        </w:pBdr>
        <w:spacing w:before="280" w:after="120"/>
      </w:pPr>
      <w:r>
        <w:rPr>
          <w:rFonts w:ascii="Calibri" w:cs="Calibri" w:eastAsia="Calibri" w:hAnsi="Calibri"/>
          <w:b/>
          <w:bCs/>
          <w:color w:val="0E2849"/>
          <w:sz w:val="25"/>
          <w:szCs w:val="25"/>
        </w:rPr>
        <w:t xml:space="preserve">B) Fesihte Kullanılmayan İzin Ücreti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Fesih / Ayrılış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Fesih Nedeni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Hak Edilen İzin (gün)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Kullanılan İzin (gün)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Kullanılmayan İzin (gün)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Esas Alınan Son Brüt Ücret (aylık)</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504"/>
        <w:gridCol w:w="3942"/>
        <w:gridCol w:w="2192"/>
      </w:tblGrid>
      <w:tr>
        <w:trPr>
          <w:cantSplit/>
          <w:trHeight w:val="400" w:hRule="atLeast"/>
        </w:trPr>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394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Hesap</w:t>
            </w:r>
          </w:p>
        </w:tc>
        <w:tc>
          <w:tcPr>
            <w:tcW w:type="dxa" w:w="21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Günlük brüt ücret</w:t>
            </w:r>
          </w:p>
        </w:tc>
        <w:tc>
          <w:tcPr>
            <w:tcW w:type="dxa" w:w="39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brüt ücret / 30</w:t>
            </w:r>
          </w:p>
        </w:tc>
        <w:tc>
          <w:tcPr>
            <w:tcW w:type="dxa" w:w="21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Kullanılmayan izin ücreti (brüt)</w:t>
            </w:r>
          </w:p>
        </w:tc>
        <w:tc>
          <w:tcPr>
            <w:tcW w:type="dxa" w:w="39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Günlük brüt ücret × kullanılmayan gün</w:t>
            </w:r>
          </w:p>
        </w:tc>
        <w:tc>
          <w:tcPr>
            <w:tcW w:type="dxa" w:w="21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işçi payı ve işsizlik sigortası kesintisi</w:t>
            </w:r>
          </w:p>
        </w:tc>
        <w:tc>
          <w:tcPr>
            <w:tcW w:type="dxa" w:w="39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Güncel oranlar</w:t>
            </w:r>
          </w:p>
        </w:tc>
        <w:tc>
          <w:tcPr>
            <w:tcW w:type="dxa" w:w="21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Gelir vergisi</w:t>
            </w:r>
          </w:p>
        </w:tc>
        <w:tc>
          <w:tcPr>
            <w:tcW w:type="dxa" w:w="39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Kümülatif matraha göre</w:t>
            </w:r>
          </w:p>
        </w:tc>
        <w:tc>
          <w:tcPr>
            <w:tcW w:type="dxa" w:w="21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Damga vergisi</w:t>
            </w:r>
          </w:p>
        </w:tc>
        <w:tc>
          <w:tcPr>
            <w:tcW w:type="dxa" w:w="39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Binde 7,59</w:t>
            </w:r>
          </w:p>
        </w:tc>
        <w:tc>
          <w:tcPr>
            <w:tcW w:type="dxa" w:w="21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Net ödenecek tutar</w:t>
            </w:r>
          </w:p>
        </w:tc>
        <w:tc>
          <w:tcPr>
            <w:tcW w:type="dxa" w:w="3942"/>
            <w:shd w:fill="F5F8FB" w:color="auto" w:val="clear"/>
            <w:tcMar>
              <w:top w:type="dxa" w:w="60"/>
              <w:left w:type="dxa" w:w="110"/>
              <w:bottom w:type="dxa" w:w="60"/>
              <w:right w:type="dxa" w:w="110"/>
            </w:tcMar>
            <w:vAlign w:val="center"/>
          </w:tcPr>
          <w:p>
            <w:pPr>
              <w:spacing w:before="40" w:after="40"/>
            </w:pPr>
          </w:p>
        </w:tc>
        <w:tc>
          <w:tcPr>
            <w:tcW w:type="dxa" w:w="2192"/>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[Tutar] TL</w:t>
            </w: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Hesaplama notu</w:t>
            </w:r>
          </w:p>
          <w:p>
            <w:pPr>
              <w:spacing w:after="20" w:line="280"/>
            </w:pPr>
            <w:r>
              <w:rPr>
                <w:rFonts w:ascii="Calibri" w:cs="Calibri" w:eastAsia="Calibri" w:hAnsi="Calibri"/>
                <w:color w:val="3A4A61"/>
                <w:sz w:val="19"/>
                <w:szCs w:val="19"/>
              </w:rPr>
              <w:t xml:space="preserve">Kullanılmayan izin ücreti, sözleşmenin sona erdiği tarihteki ücret üzerinden hesaplanır; asgari ücret istisnası ve kümülatif vergi matrahı nedeniyle net tutar kişiye göre değişir. Hesaplamayı bordro programınızla veya mali müşavirinizle teyit edin.</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Ödeme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Bordro Dönemi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Kanalı (banka)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Dekont / Referans No</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 Beyanı</w:t>
      </w:r>
    </w:p>
    <w:p>
      <w:pPr>
        <w:spacing w:after="120" w:before="0" w:line="300"/>
        <w:jc w:val="both"/>
      </w:pPr>
      <w:r>
        <w:rPr>
          <w:rFonts w:ascii="Calibri" w:cs="Calibri" w:eastAsia="Calibri" w:hAnsi="Calibri"/>
          <w:color w:val="3A4A61"/>
          <w:sz w:val="21"/>
          <w:szCs w:val="21"/>
        </w:rPr>
        <w:t xml:space="preserve">Yukarıda hesaplanan tutarın </w:t>
      </w:r>
      <w:r>
        <w:rPr>
          <w:rFonts w:ascii="Calibri" w:cs="Calibri" w:eastAsia="Calibri" w:hAnsi="Calibri"/>
          <w:color w:val="1D5888"/>
          <w:sz w:val="21"/>
          <w:szCs w:val="21"/>
          <w:shd w:fill="EAF1F8" w:color="auto" w:val="clear"/>
        </w:rPr>
        <w:t xml:space="preserve">[Ödeme Tarihi]</w:t>
      </w:r>
      <w:r>
        <w:rPr>
          <w:rFonts w:ascii="Calibri" w:cs="Calibri" w:eastAsia="Calibri" w:hAnsi="Calibri"/>
          <w:color w:val="3A4A61"/>
          <w:sz w:val="21"/>
          <w:szCs w:val="21"/>
        </w:rPr>
        <w:t xml:space="preserve"> tarihinde banka hesabıma ödendiğini öğrendim. Bu beyan, ödenen tutarı belgeleme amacı taşır.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Bordro Sorumlusu</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Yıllık izin ücreti alacağı 5 yıllık zamanaşımına tabidir (7036 sayılı Kanun md. 15). Fesihte izin ücretinin ödenmemesi veya eksik ödenmesi dahil md. 56, 57, 59 ve 60'a aykırılıklarda 2026 yılı için her işçi başına 4.815 TL idari para cezası öngörülmüştür. Ödemeler mutlaka banka kanalıyla yapılmalı ve izin kayıt belgesiyle tutarlı olmalıdır.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[İK-İZ-11]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Yıllık İzin Ücreti Ödeme Formu</dc:title>
  <dc:creator>İK Partner</dc:creator>
  <dc:description>Yıllık İzin Ücreti Ödeme Formu — İK Partner (ikpartner.com) ücretsiz İK şablonu</dc:description>
  <cp:lastModifiedBy>Un-named</cp:lastModifiedBy>
  <cp:revision>1</cp:revision>
  <dcterms:created xsi:type="dcterms:W3CDTF">2026-10-12T11:08:18.700Z</dcterms:created>
  <dcterms:modified xsi:type="dcterms:W3CDTF">2026-10-12T11:08:18.700Z</dcterms:modified>
</cp:coreProperties>
</file>

<file path=docProps/custom.xml><?xml version="1.0" encoding="utf-8"?>
<Properties xmlns="http://schemas.openxmlformats.org/officeDocument/2006/custom-properties" xmlns:vt="http://schemas.openxmlformats.org/officeDocument/2006/docPropsVTypes"/>
</file>