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Uzaktan ve Hibrit Çalışma Politikası</w:t>
      </w:r>
    </w:p>
    <w:p>
      <w:pPr>
        <w:pBdr>
          <w:bottom w:val="single" w:color="13B8A7" w:sz="12" w:space="8"/>
        </w:pBdr>
        <w:spacing w:after="220"/>
      </w:pPr>
      <w:r>
        <w:rPr>
          <w:rFonts w:ascii="Calibri" w:cs="Calibri" w:eastAsia="Calibri" w:hAnsi="Calibri"/>
          <w:color w:val="5A6B82"/>
          <w:sz w:val="21"/>
          <w:szCs w:val="21"/>
        </w:rPr>
        <w:t xml:space="preserve">[Şirket Unvanı] çalışanlarının uzaktan ve hibrit çalışma esaslarını belirleyen şirket politikası.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Yürürlük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Revizyon No /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Politika Sahibi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Onaylayan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Amaç</w:t>
      </w:r>
    </w:p>
    <w:p>
      <w:pPr>
        <w:spacing w:after="120" w:before="0" w:line="300"/>
        <w:jc w:val="both"/>
      </w:pPr>
      <w:r>
        <w:rPr>
          <w:rFonts w:ascii="Calibri" w:cs="Calibri" w:eastAsia="Calibri" w:hAnsi="Calibri"/>
          <w:color w:val="3A4A61"/>
          <w:sz w:val="21"/>
          <w:szCs w:val="21"/>
        </w:rPr>
        <w:t xml:space="preserve">Bu politikanın amacı,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("Şirket") bünyesinde uzaktan ve hibrit çalışmanın hangi görevlerde, hangi koşullarla ve hangi kurallar çerçevesinde uygulanacağını belirlemek; iş sürekliliğini, verimliliği, bilgi güvenliğini ve çalışanlar arasında eşit uygulamayı güvence altına almaktır.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Kapsam</w:t>
      </w:r>
    </w:p>
    <w:p>
      <w:pPr>
        <w:spacing w:after="120" w:before="0" w:line="300"/>
        <w:jc w:val="both"/>
      </w:pPr>
      <w:r>
        <w:rPr>
          <w:rFonts w:ascii="Calibri" w:cs="Calibri" w:eastAsia="Calibri" w:hAnsi="Calibri"/>
          <w:color w:val="3A4A61"/>
          <w:sz w:val="21"/>
          <w:szCs w:val="21"/>
        </w:rPr>
        <w:t xml:space="preserve">Bu politika, uzaktan veya hibrit çalışma modeline dahil edilen tüm çalışanları, yöneticilerini ve süreçte görev alan İnsan Kaynakları, Bilgi Teknolojileri ve İş Sağlığı ve Güvenliği birimlerini kapsar. Stajyerler ve dış kaynak çalışanları için ilgili sözleşme hükümleri uygulanır.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Tanımlar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570"/>
        <w:gridCol w:w="7068"/>
      </w:tblGrid>
      <w:tr>
        <w:trPr>
          <w:cantSplit/>
          <w:trHeight w:val="400" w:hRule="atLeast"/>
        </w:trPr>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Terim</w:t>
            </w:r>
          </w:p>
        </w:tc>
        <w:tc>
          <w:tcPr>
            <w:tcW w:type="dxa" w:w="70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25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Uzaktan çalışma</w:t>
            </w:r>
          </w:p>
        </w:tc>
        <w:tc>
          <w:tcPr>
            <w:tcW w:type="dxa" w:w="7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iş görme edimini, Şirket'in iş organizasyonu kapsamında evden veya teknolojik iletişim araçlarıyla işyeri dışında yerine getirmesi.</w:t>
            </w:r>
          </w:p>
        </w:tc>
      </w:tr>
      <w:tr>
        <w:trPr>
          <w:cantSplit/>
          <w:trHeight w:val="380" w:hRule="atLeast"/>
        </w:trPr>
        <w:tc>
          <w:tcPr>
            <w:tcW w:type="dxa" w:w="25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Hibrit çalışma</w:t>
            </w:r>
          </w:p>
        </w:tc>
        <w:tc>
          <w:tcPr>
            <w:tcW w:type="dxa" w:w="7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Haftanın belirli günlerinde işyerinde, diğer günlerinde uzaktan çalışılan model.</w:t>
            </w:r>
          </w:p>
        </w:tc>
      </w:tr>
      <w:tr>
        <w:trPr>
          <w:cantSplit/>
          <w:trHeight w:val="380" w:hRule="atLeast"/>
        </w:trPr>
        <w:tc>
          <w:tcPr>
            <w:tcW w:type="dxa" w:w="25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Ofis günü</w:t>
            </w:r>
          </w:p>
        </w:tc>
        <w:tc>
          <w:tcPr>
            <w:tcW w:type="dxa" w:w="7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Ekibin işyerinde bir arada bulunduğu, ekip yöneticisi tarafından belirlenen gün.</w:t>
            </w:r>
          </w:p>
        </w:tc>
      </w:tr>
      <w:tr>
        <w:trPr>
          <w:cantSplit/>
          <w:trHeight w:val="380" w:hRule="atLeast"/>
        </w:trPr>
        <w:tc>
          <w:tcPr>
            <w:tcW w:type="dxa" w:w="25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Çekirdek saatler</w:t>
            </w:r>
          </w:p>
        </w:tc>
        <w:tc>
          <w:tcPr>
            <w:tcW w:type="dxa" w:w="7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toplantı ve iletişim için mutlaka ulaşılabilir olduğu saat aralığı (</w:t>
            </w:r>
            <w:r>
              <w:rPr>
                <w:rFonts w:ascii="Calibri" w:cs="Calibri" w:eastAsia="Calibri" w:hAnsi="Calibri"/>
                <w:color w:val="1D5888"/>
                <w:sz w:val="19"/>
                <w:szCs w:val="19"/>
                <w:shd w:fill="EAF1F8" w:color="auto" w:val="clear"/>
              </w:rPr>
              <w:t xml:space="preserve">[10.00–16.00]</w:t>
            </w:r>
            <w:r>
              <w:rPr>
                <w:rFonts w:ascii="Calibri" w:cs="Calibri" w:eastAsia="Calibri" w:hAnsi="Calibri"/>
                <w:color w:val="3A4A61"/>
                <w:sz w:val="19"/>
                <w:szCs w:val="19"/>
              </w:rPr>
              <w:t xml:space="preserve">).</w:t>
            </w:r>
          </w:p>
        </w:tc>
      </w:tr>
      <w:tr>
        <w:trPr>
          <w:cantSplit/>
          <w:trHeight w:val="380" w:hRule="atLeast"/>
        </w:trPr>
        <w:tc>
          <w:tcPr>
            <w:tcW w:type="dxa" w:w="25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Uzaktan çalışma sözleşmesi</w:t>
            </w:r>
          </w:p>
        </w:tc>
        <w:tc>
          <w:tcPr>
            <w:tcW w:type="dxa" w:w="7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Uzaktan çalışmanın koşullarını düzenleyen, yazılı olarak yapılan sözleşme veya iş sözleşmesi eki.</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Yasal Dayanak</w:t>
      </w:r>
    </w:p>
    <w:p>
      <w:pPr>
        <w:pStyle w:val="ListParagraph"/>
        <w:numPr>
          <w:ilvl w:val="0"/>
          <w:numId w:val="2"/>
        </w:numPr>
        <w:spacing w:after="80" w:line="290"/>
      </w:pPr>
      <w:r>
        <w:rPr>
          <w:rFonts w:ascii="Calibri" w:cs="Calibri" w:eastAsia="Calibri" w:hAnsi="Calibri"/>
          <w:color w:val="3A4A61"/>
          <w:sz w:val="21"/>
          <w:szCs w:val="21"/>
        </w:rPr>
        <w:t xml:space="preserve">4857 sayılı İş Kanunu, özellikle md. 14 (uzaktan çalışma) ve çalışma sürelerine ilişkin hükümler</w:t>
      </w:r>
    </w:p>
    <w:p>
      <w:pPr>
        <w:pStyle w:val="ListParagraph"/>
        <w:numPr>
          <w:ilvl w:val="0"/>
          <w:numId w:val="2"/>
        </w:numPr>
        <w:spacing w:after="80" w:line="290"/>
      </w:pPr>
      <w:r>
        <w:rPr>
          <w:rFonts w:ascii="Calibri" w:cs="Calibri" w:eastAsia="Calibri" w:hAnsi="Calibri"/>
          <w:color w:val="3A4A61"/>
          <w:sz w:val="21"/>
          <w:szCs w:val="21"/>
        </w:rPr>
        <w:t xml:space="preserve">Uzaktan Çalışma Yönetmeliği</w:t>
      </w:r>
    </w:p>
    <w:p>
      <w:pPr>
        <w:pStyle w:val="ListParagraph"/>
        <w:numPr>
          <w:ilvl w:val="0"/>
          <w:numId w:val="2"/>
        </w:numPr>
        <w:spacing w:after="80" w:line="290"/>
      </w:pPr>
      <w:r>
        <w:rPr>
          <w:rFonts w:ascii="Calibri" w:cs="Calibri" w:eastAsia="Calibri" w:hAnsi="Calibri"/>
          <w:color w:val="3A4A61"/>
          <w:sz w:val="21"/>
          <w:szCs w:val="21"/>
        </w:rPr>
        <w:t xml:space="preserve">6331 sayılı İş Sağlığı ve Güvenliği Kanunu ve ilgili yönetmelikler</w:t>
      </w:r>
    </w:p>
    <w:p>
      <w:pPr>
        <w:pStyle w:val="ListParagraph"/>
        <w:numPr>
          <w:ilvl w:val="0"/>
          <w:numId w:val="2"/>
        </w:numPr>
        <w:spacing w:after="80" w:line="290"/>
      </w:pPr>
      <w:r>
        <w:rPr>
          <w:rFonts w:ascii="Calibri" w:cs="Calibri" w:eastAsia="Calibri" w:hAnsi="Calibri"/>
          <w:color w:val="3A4A61"/>
          <w:sz w:val="21"/>
          <w:szCs w:val="21"/>
        </w:rPr>
        <w:t xml:space="preserve">6698 sayılı Kişisel Verilerin Korunması Kanunu</w:t>
      </w:r>
    </w:p>
    <w:p>
      <w:pPr>
        <w:pStyle w:val="ListParagraph"/>
        <w:numPr>
          <w:ilvl w:val="0"/>
          <w:numId w:val="2"/>
        </w:numPr>
        <w:spacing w:after="80" w:line="290"/>
      </w:pPr>
      <w:r>
        <w:rPr>
          <w:rFonts w:ascii="Calibri" w:cs="Calibri" w:eastAsia="Calibri" w:hAnsi="Calibri"/>
          <w:color w:val="3A4A61"/>
          <w:sz w:val="21"/>
          <w:szCs w:val="21"/>
        </w:rPr>
        <w:t xml:space="preserve">Şirket'in Bilgi Güvenliği Politikası, Disiplin Yönetmeliği ve Yan Haklar Politikası</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Çalışma Modelleri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514"/>
        <w:gridCol w:w="1514"/>
        <w:gridCol w:w="4683"/>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Model</w:t>
            </w:r>
          </w:p>
        </w:tc>
        <w:tc>
          <w:tcPr>
            <w:tcW w:type="dxa" w:w="15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İşyerinde</w:t>
            </w:r>
          </w:p>
        </w:tc>
        <w:tc>
          <w:tcPr>
            <w:tcW w:type="dxa" w:w="15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Uzaktan</w:t>
            </w:r>
          </w:p>
        </w:tc>
        <w:tc>
          <w:tcPr>
            <w:tcW w:type="dxa" w:w="46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 Görevler (örnek)</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Ofis temelli</w:t>
            </w:r>
          </w:p>
        </w:tc>
        <w:tc>
          <w:tcPr>
            <w:tcW w:type="dxa" w:w="1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 gün</w:t>
            </w:r>
          </w:p>
        </w:tc>
        <w:tc>
          <w:tcPr>
            <w:tcW w:type="dxa" w:w="1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6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Fiziksel varlık gerektiren görevler: üretim, depo, resepsiyon, saha destek</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Hibrit</w:t>
            </w:r>
          </w:p>
        </w:tc>
        <w:tc>
          <w:tcPr>
            <w:tcW w:type="dxa" w:w="15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[3]</w:t>
            </w:r>
            <w:r>
              <w:rPr>
                <w:rFonts w:ascii="Calibri" w:cs="Calibri" w:eastAsia="Calibri" w:hAnsi="Calibri"/>
                <w:color w:val="3A4A61"/>
                <w:sz w:val="19"/>
                <w:szCs w:val="19"/>
              </w:rPr>
              <w:t xml:space="preserve"> gün</w:t>
            </w:r>
          </w:p>
        </w:tc>
        <w:tc>
          <w:tcPr>
            <w:tcW w:type="dxa" w:w="15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w:t>
            </w:r>
            <w:r>
              <w:rPr>
                <w:rFonts w:ascii="Calibri" w:cs="Calibri" w:eastAsia="Calibri" w:hAnsi="Calibri"/>
                <w:color w:val="3A4A61"/>
                <w:sz w:val="19"/>
                <w:szCs w:val="19"/>
              </w:rPr>
              <w:t xml:space="preserve"> gün</w:t>
            </w:r>
          </w:p>
        </w:tc>
        <w:tc>
          <w:tcPr>
            <w:tcW w:type="dxa" w:w="46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içi yoğun iş birliği gerektiren ancak bağımsız da yürütülebilen görevler</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 uzaktan</w:t>
            </w:r>
          </w:p>
        </w:tc>
        <w:tc>
          <w:tcPr>
            <w:tcW w:type="dxa" w:w="1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İhtiyaç halinde</w:t>
            </w:r>
          </w:p>
        </w:tc>
        <w:tc>
          <w:tcPr>
            <w:tcW w:type="dxa" w:w="1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 gün</w:t>
            </w:r>
          </w:p>
        </w:tc>
        <w:tc>
          <w:tcPr>
            <w:tcW w:type="dxa" w:w="46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Çıktısı ölçülebilir, sistem üzerinden yürütülebilen görevler</w:t>
            </w:r>
          </w:p>
        </w:tc>
      </w:tr>
    </w:tbl>
    <w:p>
      <w:pPr>
        <w:spacing w:after="120" w:before="0"/>
      </w:pPr>
    </w:p>
    <w:p>
      <w:pPr>
        <w:spacing w:after="120" w:before="0" w:line="300"/>
        <w:jc w:val="both"/>
      </w:pPr>
      <w:r>
        <w:rPr>
          <w:rFonts w:ascii="Calibri" w:cs="Calibri" w:eastAsia="Calibri" w:hAnsi="Calibri"/>
          <w:color w:val="3A4A61"/>
          <w:sz w:val="21"/>
          <w:szCs w:val="21"/>
        </w:rPr>
        <w:t xml:space="preserve">Görevlerin hangi modele uygun olduğu, birim yöneticisi ve İK tarafından görev tanımları esas alınarak belirlenir ve yılda en az bir kez gözden geçirilir.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Uygunluk Kriterleri</w:t>
      </w:r>
    </w:p>
    <w:p>
      <w:pPr>
        <w:pStyle w:val="ListParagraph"/>
        <w:numPr>
          <w:ilvl w:val="0"/>
          <w:numId w:val="2"/>
        </w:numPr>
        <w:spacing w:after="80" w:line="290"/>
      </w:pPr>
      <w:r>
        <w:rPr>
          <w:rFonts w:ascii="Calibri" w:cs="Calibri" w:eastAsia="Calibri" w:hAnsi="Calibri"/>
          <w:color w:val="3A4A61"/>
          <w:sz w:val="21"/>
          <w:szCs w:val="21"/>
        </w:rPr>
        <w:t xml:space="preserve">Görevin niteliğinin uzaktan yürütülmeye uygun olması ve hizmet kalitesinin etkilenmemesi</w:t>
      </w:r>
    </w:p>
    <w:p>
      <w:pPr>
        <w:pStyle w:val="ListParagraph"/>
        <w:numPr>
          <w:ilvl w:val="0"/>
          <w:numId w:val="2"/>
        </w:numPr>
        <w:spacing w:after="80" w:line="290"/>
      </w:pPr>
      <w:r>
        <w:rPr>
          <w:rFonts w:ascii="Calibri" w:cs="Calibri" w:eastAsia="Calibri" w:hAnsi="Calibri"/>
          <w:color w:val="3A4A61"/>
          <w:sz w:val="21"/>
          <w:szCs w:val="21"/>
        </w:rPr>
        <w:t xml:space="preserve">Çalışanın </w:t>
      </w:r>
      <w:r>
        <w:rPr>
          <w:rFonts w:ascii="Calibri" w:cs="Calibri" w:eastAsia="Calibri" w:hAnsi="Calibri"/>
          <w:color w:val="1D5888"/>
          <w:sz w:val="21"/>
          <w:szCs w:val="21"/>
          <w:shd w:fill="EAF1F8" w:color="auto" w:val="clear"/>
        </w:rPr>
        <w:t xml:space="preserve">[deneme süresini]</w:t>
      </w:r>
      <w:r>
        <w:rPr>
          <w:rFonts w:ascii="Calibri" w:cs="Calibri" w:eastAsia="Calibri" w:hAnsi="Calibri"/>
          <w:color w:val="3A4A61"/>
          <w:sz w:val="21"/>
          <w:szCs w:val="21"/>
        </w:rPr>
        <w:t xml:space="preserve"> tamamlamış olması (yöneticinin uygun görmesi halinde istisna yapılabilir)</w:t>
      </w:r>
    </w:p>
    <w:p>
      <w:pPr>
        <w:pStyle w:val="ListParagraph"/>
        <w:numPr>
          <w:ilvl w:val="0"/>
          <w:numId w:val="2"/>
        </w:numPr>
        <w:spacing w:after="80" w:line="290"/>
      </w:pPr>
      <w:r>
        <w:rPr>
          <w:rFonts w:ascii="Calibri" w:cs="Calibri" w:eastAsia="Calibri" w:hAnsi="Calibri"/>
          <w:color w:val="3A4A61"/>
          <w:sz w:val="21"/>
          <w:szCs w:val="21"/>
        </w:rPr>
        <w:t xml:space="preserve">Çalışma adresinde güvenli internet bağlantısı ve uygun çalışma alanı bulunması</w:t>
      </w:r>
    </w:p>
    <w:p>
      <w:pPr>
        <w:pStyle w:val="ListParagraph"/>
        <w:numPr>
          <w:ilvl w:val="0"/>
          <w:numId w:val="2"/>
        </w:numPr>
        <w:spacing w:after="80" w:line="290"/>
      </w:pPr>
      <w:r>
        <w:rPr>
          <w:rFonts w:ascii="Calibri" w:cs="Calibri" w:eastAsia="Calibri" w:hAnsi="Calibri"/>
          <w:color w:val="3A4A61"/>
          <w:sz w:val="21"/>
          <w:szCs w:val="21"/>
        </w:rPr>
        <w:t xml:space="preserve">Bilgi güvenliği ve iş sağlığı ve güvenliği eğitimlerinin tamamlanmış olması</w:t>
      </w:r>
    </w:p>
    <w:p>
      <w:pPr>
        <w:pStyle w:val="ListParagraph"/>
        <w:numPr>
          <w:ilvl w:val="0"/>
          <w:numId w:val="2"/>
        </w:numPr>
        <w:spacing w:after="80" w:line="290"/>
      </w:pPr>
      <w:r>
        <w:rPr>
          <w:rFonts w:ascii="Calibri" w:cs="Calibri" w:eastAsia="Calibri" w:hAnsi="Calibri"/>
          <w:color w:val="3A4A61"/>
          <w:sz w:val="21"/>
          <w:szCs w:val="21"/>
        </w:rPr>
        <w:t xml:space="preserve">Son performans döneminde hedeflerin karşılanmış olması veya yöneticiyle mutabık kalınmış bir gelişim planının bulunması</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Başvuru, Değerlendirme ve Onay</w:t>
      </w:r>
    </w:p>
    <w:p>
      <w:pPr>
        <w:pStyle w:val="ListParagraph"/>
        <w:numPr>
          <w:ilvl w:val="0"/>
          <w:numId w:val="3"/>
        </w:numPr>
        <w:spacing w:after="80" w:line="290"/>
      </w:pPr>
      <w:r>
        <w:rPr>
          <w:rFonts w:ascii="Calibri" w:cs="Calibri" w:eastAsia="Calibri" w:hAnsi="Calibri"/>
          <w:color w:val="3A4A61"/>
          <w:sz w:val="21"/>
          <w:szCs w:val="21"/>
        </w:rPr>
        <w:t xml:space="preserve">Çalışan, uzaktan veya hibrit çalışma talebini </w:t>
      </w:r>
      <w:r>
        <w:rPr>
          <w:rFonts w:ascii="Calibri" w:cs="Calibri" w:eastAsia="Calibri" w:hAnsi="Calibri"/>
          <w:color w:val="1D5888"/>
          <w:sz w:val="21"/>
          <w:szCs w:val="21"/>
          <w:shd w:fill="EAF1F8" w:color="auto" w:val="clear"/>
        </w:rPr>
        <w:t xml:space="preserve">[İK sistemi / talep formu]</w:t>
      </w:r>
      <w:r>
        <w:rPr>
          <w:rFonts w:ascii="Calibri" w:cs="Calibri" w:eastAsia="Calibri" w:hAnsi="Calibri"/>
          <w:color w:val="3A4A61"/>
          <w:sz w:val="21"/>
          <w:szCs w:val="21"/>
        </w:rPr>
        <w:t xml:space="preserve"> üzerinden yazılı olarak iletir.</w:t>
      </w:r>
    </w:p>
    <w:p>
      <w:pPr>
        <w:pStyle w:val="ListParagraph"/>
        <w:numPr>
          <w:ilvl w:val="0"/>
          <w:numId w:val="3"/>
        </w:numPr>
        <w:spacing w:after="80" w:line="290"/>
      </w:pPr>
      <w:r>
        <w:rPr>
          <w:rFonts w:ascii="Calibri" w:cs="Calibri" w:eastAsia="Calibri" w:hAnsi="Calibri"/>
          <w:color w:val="3A4A61"/>
          <w:sz w:val="21"/>
          <w:szCs w:val="21"/>
        </w:rPr>
        <w:t xml:space="preserve">Birim yöneticisi talebi görevin niteliği, ekip ihtiyaçları ve uygunluk kriterleri yönünden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değerlendirir.</w:t>
      </w:r>
    </w:p>
    <w:p>
      <w:pPr>
        <w:pStyle w:val="ListParagraph"/>
        <w:numPr>
          <w:ilvl w:val="0"/>
          <w:numId w:val="3"/>
        </w:numPr>
        <w:spacing w:after="80" w:line="290"/>
      </w:pPr>
      <w:r>
        <w:rPr>
          <w:rFonts w:ascii="Calibri" w:cs="Calibri" w:eastAsia="Calibri" w:hAnsi="Calibri"/>
          <w:color w:val="3A4A61"/>
          <w:sz w:val="21"/>
          <w:szCs w:val="21"/>
        </w:rPr>
        <w:t xml:space="preserve">İK, değerlendirmeyi eşit uygulama ve mevzuat uyumu yönünden kontrol eder.</w:t>
      </w:r>
    </w:p>
    <w:p>
      <w:pPr>
        <w:pStyle w:val="ListParagraph"/>
        <w:numPr>
          <w:ilvl w:val="0"/>
          <w:numId w:val="3"/>
        </w:numPr>
        <w:spacing w:after="80" w:line="290"/>
      </w:pPr>
      <w:r>
        <w:rPr>
          <w:rFonts w:ascii="Calibri" w:cs="Calibri" w:eastAsia="Calibri" w:hAnsi="Calibri"/>
          <w:color w:val="3A4A61"/>
          <w:sz w:val="21"/>
          <w:szCs w:val="21"/>
        </w:rPr>
        <w:t xml:space="preserve">Onaylanan taleplerde çalışan ile yazılı uzaktan çalışma sözleşmesi (veya iş sözleşmesine ek) imzalanır; ekipman teslim tutanağı düzenlenir.</w:t>
      </w:r>
    </w:p>
    <w:p>
      <w:pPr>
        <w:pStyle w:val="ListParagraph"/>
        <w:numPr>
          <w:ilvl w:val="0"/>
          <w:numId w:val="3"/>
        </w:numPr>
        <w:spacing w:after="80" w:line="290"/>
      </w:pPr>
      <w:r>
        <w:rPr>
          <w:rFonts w:ascii="Calibri" w:cs="Calibri" w:eastAsia="Calibri" w:hAnsi="Calibri"/>
          <w:color w:val="3A4A61"/>
          <w:sz w:val="21"/>
          <w:szCs w:val="21"/>
        </w:rPr>
        <w:t xml:space="preserve">Reddedilen taleplerde gerekçe çalışana yazılı olarak bildirilir; çalışan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sonra yeniden başvurabilir.</w:t>
      </w:r>
    </w:p>
    <w:p>
      <w:pPr>
        <w:pStyle w:val="ListParagraph"/>
        <w:numPr>
          <w:ilvl w:val="0"/>
          <w:numId w:val="3"/>
        </w:numPr>
        <w:spacing w:after="80" w:line="290"/>
      </w:pPr>
      <w:r>
        <w:rPr>
          <w:rFonts w:ascii="Calibri" w:cs="Calibri" w:eastAsia="Calibri" w:hAnsi="Calibri"/>
          <w:color w:val="3A4A61"/>
          <w:sz w:val="21"/>
          <w:szCs w:val="21"/>
        </w:rPr>
        <w:t xml:space="preserve">Model, başlangıçtan itibaren </w:t>
      </w:r>
      <w:r>
        <w:rPr>
          <w:rFonts w:ascii="Calibri" w:cs="Calibri" w:eastAsia="Calibri" w:hAnsi="Calibri"/>
          <w:color w:val="1D5888"/>
          <w:sz w:val="21"/>
          <w:szCs w:val="21"/>
          <w:shd w:fill="EAF1F8" w:color="auto" w:val="clear"/>
        </w:rPr>
        <w:t xml:space="preserve">[3]</w:t>
      </w:r>
      <w:r>
        <w:rPr>
          <w:rFonts w:ascii="Calibri" w:cs="Calibri" w:eastAsia="Calibri" w:hAnsi="Calibri"/>
          <w:color w:val="3A4A61"/>
          <w:sz w:val="21"/>
          <w:szCs w:val="21"/>
        </w:rPr>
        <w:t xml:space="preserve"> ay sonra yönetici ve çalışan tarafından birlikte değerlendirilir.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Çalışma Süresi, Ulaşılabilirlik ve Bağlantıyı Kesme</w:t>
      </w:r>
    </w:p>
    <w:p>
      <w:pPr>
        <w:pStyle w:val="ListParagraph"/>
        <w:numPr>
          <w:ilvl w:val="0"/>
          <w:numId w:val="2"/>
        </w:numPr>
        <w:spacing w:after="80" w:line="290"/>
      </w:pPr>
      <w:r>
        <w:rPr>
          <w:rFonts w:ascii="Calibri" w:cs="Calibri" w:eastAsia="Calibri" w:hAnsi="Calibri"/>
          <w:color w:val="3A4A61"/>
          <w:sz w:val="21"/>
          <w:szCs w:val="21"/>
        </w:rPr>
        <w:t xml:space="preserve">Haftalık çalışma süresi ve ara dinlenmeler iş sözleşmesine ve mevzuata göre uygulanır; uzaktan çalışma, çalışma süresi sınırlarını değiştirmez.</w:t>
      </w:r>
    </w:p>
    <w:p>
      <w:pPr>
        <w:pStyle w:val="ListParagraph"/>
        <w:numPr>
          <w:ilvl w:val="0"/>
          <w:numId w:val="2"/>
        </w:numPr>
        <w:spacing w:after="80" w:line="290"/>
      </w:pPr>
      <w:r>
        <w:rPr>
          <w:rFonts w:ascii="Calibri" w:cs="Calibri" w:eastAsia="Calibri" w:hAnsi="Calibri"/>
          <w:color w:val="3A4A61"/>
          <w:sz w:val="21"/>
          <w:szCs w:val="21"/>
        </w:rPr>
        <w:t xml:space="preserve">Çalışanlar çekirdek saatlerde ulaşılabilir olur; çekirdek saatler dışındaki çalışma zamanı yöneticiyle mutabık kalınarak planlanır.</w:t>
      </w:r>
    </w:p>
    <w:p>
      <w:pPr>
        <w:pStyle w:val="ListParagraph"/>
        <w:numPr>
          <w:ilvl w:val="0"/>
          <w:numId w:val="2"/>
        </w:numPr>
        <w:spacing w:after="80" w:line="290"/>
      </w:pPr>
      <w:r>
        <w:rPr>
          <w:rFonts w:ascii="Calibri" w:cs="Calibri" w:eastAsia="Calibri" w:hAnsi="Calibri"/>
          <w:color w:val="3A4A61"/>
          <w:sz w:val="21"/>
          <w:szCs w:val="21"/>
        </w:rPr>
        <w:t xml:space="preserve">Çalışma süreleri </w:t>
      </w:r>
      <w:r>
        <w:rPr>
          <w:rFonts w:ascii="Calibri" w:cs="Calibri" w:eastAsia="Calibri" w:hAnsi="Calibri"/>
          <w:color w:val="1D5888"/>
          <w:sz w:val="21"/>
          <w:szCs w:val="21"/>
          <w:shd w:fill="EAF1F8" w:color="auto" w:val="clear"/>
        </w:rPr>
        <w:t xml:space="preserve">[sistem kaydı / zaman çizelgesi]</w:t>
      </w:r>
      <w:r>
        <w:rPr>
          <w:rFonts w:ascii="Calibri" w:cs="Calibri" w:eastAsia="Calibri" w:hAnsi="Calibri"/>
          <w:color w:val="3A4A61"/>
          <w:sz w:val="21"/>
          <w:szCs w:val="21"/>
        </w:rPr>
        <w:t xml:space="preserve"> ile kayıt altına alınır.</w:t>
      </w:r>
    </w:p>
    <w:p>
      <w:pPr>
        <w:pStyle w:val="ListParagraph"/>
        <w:numPr>
          <w:ilvl w:val="0"/>
          <w:numId w:val="2"/>
        </w:numPr>
        <w:spacing w:after="80" w:line="290"/>
      </w:pPr>
      <w:r>
        <w:rPr>
          <w:rFonts w:ascii="Calibri" w:cs="Calibri" w:eastAsia="Calibri" w:hAnsi="Calibri"/>
          <w:color w:val="3A4A61"/>
          <w:sz w:val="21"/>
          <w:szCs w:val="21"/>
        </w:rPr>
        <w:t xml:space="preserve">Fazla çalışma yalnızca yöneticinin önceden talebi ve çalışanın yazılı onayıyla yapılır; kendiliğinden yapılan çalışmalar yöneticiye bildirilir ve kayda alınır.</w:t>
      </w:r>
    </w:p>
    <w:p>
      <w:pPr>
        <w:pStyle w:val="ListParagraph"/>
        <w:numPr>
          <w:ilvl w:val="0"/>
          <w:numId w:val="2"/>
        </w:numPr>
        <w:spacing w:after="80" w:line="290"/>
      </w:pPr>
      <w:r>
        <w:rPr>
          <w:rFonts w:ascii="Calibri" w:cs="Calibri" w:eastAsia="Calibri" w:hAnsi="Calibri"/>
          <w:color w:val="3A4A61"/>
          <w:sz w:val="21"/>
          <w:szCs w:val="21"/>
        </w:rPr>
        <w:t xml:space="preserve">Çalışma saatleri dışında ve izin günlerinde, acil durumlar dışında e-posta ve mesajlara yanıt beklenmez; yöneticiler mesai dışı iletişimi zamanlanmış gönderimle planlar.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Ofis Günleri ve Çalışma Alanı</w:t>
      </w:r>
    </w:p>
    <w:p>
      <w:pPr>
        <w:pStyle w:val="ListParagraph"/>
        <w:numPr>
          <w:ilvl w:val="0"/>
          <w:numId w:val="2"/>
        </w:numPr>
        <w:spacing w:after="80" w:line="290"/>
      </w:pPr>
      <w:r>
        <w:rPr>
          <w:rFonts w:ascii="Calibri" w:cs="Calibri" w:eastAsia="Calibri" w:hAnsi="Calibri"/>
          <w:color w:val="3A4A61"/>
          <w:sz w:val="21"/>
          <w:szCs w:val="21"/>
        </w:rPr>
        <w:t xml:space="preserve">Hibrit ekiplerde ofis günleri ekip yöneticisi tarafından belirlenir ve ekip takvimine işlenir.</w:t>
      </w:r>
    </w:p>
    <w:p>
      <w:pPr>
        <w:pStyle w:val="ListParagraph"/>
        <w:numPr>
          <w:ilvl w:val="0"/>
          <w:numId w:val="2"/>
        </w:numPr>
        <w:spacing w:after="80" w:line="290"/>
      </w:pPr>
      <w:r>
        <w:rPr>
          <w:rFonts w:ascii="Calibri" w:cs="Calibri" w:eastAsia="Calibri" w:hAnsi="Calibri"/>
          <w:color w:val="3A4A61"/>
          <w:sz w:val="21"/>
          <w:szCs w:val="21"/>
        </w:rPr>
        <w:t xml:space="preserve">Ofis günlerinde ekip toplantıları, eğitimler ve iş birliği gerektiren çalışmalar önceliklendirilir.</w:t>
      </w:r>
    </w:p>
    <w:p>
      <w:pPr>
        <w:pStyle w:val="ListParagraph"/>
        <w:numPr>
          <w:ilvl w:val="0"/>
          <w:numId w:val="2"/>
        </w:numPr>
        <w:spacing w:after="80" w:line="290"/>
      </w:pPr>
      <w:r>
        <w:rPr>
          <w:rFonts w:ascii="Calibri" w:cs="Calibri" w:eastAsia="Calibri" w:hAnsi="Calibri"/>
          <w:color w:val="3A4A61"/>
          <w:sz w:val="21"/>
          <w:szCs w:val="21"/>
        </w:rPr>
        <w:t xml:space="preserve">Masa paylaşımı uygulanan alanlarda </w:t>
      </w:r>
      <w:r>
        <w:rPr>
          <w:rFonts w:ascii="Calibri" w:cs="Calibri" w:eastAsia="Calibri" w:hAnsi="Calibri"/>
          <w:color w:val="1D5888"/>
          <w:sz w:val="21"/>
          <w:szCs w:val="21"/>
          <w:shd w:fill="EAF1F8" w:color="auto" w:val="clear"/>
        </w:rPr>
        <w:t xml:space="preserve">[rezervasyon sistemi]</w:t>
      </w:r>
      <w:r>
        <w:rPr>
          <w:rFonts w:ascii="Calibri" w:cs="Calibri" w:eastAsia="Calibri" w:hAnsi="Calibri"/>
          <w:color w:val="3A4A61"/>
          <w:sz w:val="21"/>
          <w:szCs w:val="21"/>
        </w:rPr>
        <w:t xml:space="preserve"> kullanılır; kişisel eşyalar gün sonunda kaldırılır.</w:t>
      </w:r>
    </w:p>
    <w:p>
      <w:pPr>
        <w:pStyle w:val="ListParagraph"/>
        <w:numPr>
          <w:ilvl w:val="0"/>
          <w:numId w:val="2"/>
        </w:numPr>
        <w:spacing w:after="80" w:line="290"/>
      </w:pPr>
      <w:r>
        <w:rPr>
          <w:rFonts w:ascii="Calibri" w:cs="Calibri" w:eastAsia="Calibri" w:hAnsi="Calibri"/>
          <w:color w:val="3A4A61"/>
          <w:sz w:val="21"/>
          <w:szCs w:val="21"/>
        </w:rPr>
        <w:t xml:space="preserve">İş gereği yapılacak ofis günü değişiklikleri çalışana en az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önceden bildirilir.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Ekipman, Giderler ve Teknik Destek</w:t>
      </w:r>
    </w:p>
    <w:p>
      <w:pPr>
        <w:pStyle w:val="ListParagraph"/>
        <w:numPr>
          <w:ilvl w:val="0"/>
          <w:numId w:val="2"/>
        </w:numPr>
        <w:spacing w:after="80" w:line="290"/>
      </w:pPr>
      <w:r>
        <w:rPr>
          <w:rFonts w:ascii="Calibri" w:cs="Calibri" w:eastAsia="Calibri" w:hAnsi="Calibri"/>
          <w:color w:val="3A4A61"/>
          <w:sz w:val="21"/>
          <w:szCs w:val="21"/>
        </w:rPr>
        <w:t xml:space="preserve">Şirket, görev için gerekli bilgisayar ve donanımı zimmet tutanağıyla sağlar; ekipman yalnızca iş amacıyla kullanılır.</w:t>
      </w:r>
    </w:p>
    <w:p>
      <w:pPr>
        <w:pStyle w:val="ListParagraph"/>
        <w:numPr>
          <w:ilvl w:val="0"/>
          <w:numId w:val="2"/>
        </w:numPr>
        <w:spacing w:after="80" w:line="290"/>
      </w:pPr>
      <w:r>
        <w:rPr>
          <w:rFonts w:ascii="Calibri" w:cs="Calibri" w:eastAsia="Calibri" w:hAnsi="Calibri"/>
          <w:color w:val="3A4A61"/>
          <w:sz w:val="21"/>
          <w:szCs w:val="21"/>
        </w:rPr>
        <w:t xml:space="preserve">İşin yapılmasıyla ilgili zorunlu giderlerin (internet, iletişim vb.) nasıl karşılanacağı uzaktan çalışma sözleşmesinde belirlenir.</w:t>
      </w:r>
    </w:p>
    <w:p>
      <w:pPr>
        <w:pStyle w:val="ListParagraph"/>
        <w:numPr>
          <w:ilvl w:val="0"/>
          <w:numId w:val="2"/>
        </w:numPr>
        <w:spacing w:after="80" w:line="290"/>
      </w:pPr>
      <w:r>
        <w:rPr>
          <w:rFonts w:ascii="Calibri" w:cs="Calibri" w:eastAsia="Calibri" w:hAnsi="Calibri"/>
          <w:color w:val="3A4A61"/>
          <w:sz w:val="21"/>
          <w:szCs w:val="21"/>
        </w:rPr>
        <w:t xml:space="preserve">Teknik sorunlar </w:t>
      </w:r>
      <w:r>
        <w:rPr>
          <w:rFonts w:ascii="Calibri" w:cs="Calibri" w:eastAsia="Calibri" w:hAnsi="Calibri"/>
          <w:color w:val="1D5888"/>
          <w:sz w:val="21"/>
          <w:szCs w:val="21"/>
          <w:shd w:fill="EAF1F8" w:color="auto" w:val="clear"/>
        </w:rPr>
        <w:t xml:space="preserve">[BT destek kanalı]</w:t>
      </w:r>
      <w:r>
        <w:rPr>
          <w:rFonts w:ascii="Calibri" w:cs="Calibri" w:eastAsia="Calibri" w:hAnsi="Calibri"/>
          <w:color w:val="3A4A61"/>
          <w:sz w:val="21"/>
          <w:szCs w:val="21"/>
        </w:rPr>
        <w:t xml:space="preserve"> üzerinden bildirilir; çözülemeyen arızalarda çalışan işyerinde çalışmaya yönlendirilebilir.</w:t>
      </w:r>
    </w:p>
    <w:p>
      <w:pPr>
        <w:pStyle w:val="ListParagraph"/>
        <w:numPr>
          <w:ilvl w:val="0"/>
          <w:numId w:val="2"/>
        </w:numPr>
        <w:spacing w:after="80" w:line="290"/>
      </w:pPr>
      <w:r>
        <w:rPr>
          <w:rFonts w:ascii="Calibri" w:cs="Calibri" w:eastAsia="Calibri" w:hAnsi="Calibri"/>
          <w:color w:val="3A4A61"/>
          <w:sz w:val="21"/>
          <w:szCs w:val="21"/>
        </w:rPr>
        <w:t xml:space="preserve">Ayrılışta veya ofise dönüşte ekipman eksiksiz iade edilir.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Bilgi Güvenliği ve Kişisel Verilerin Korunması</w:t>
      </w:r>
    </w:p>
    <w:p>
      <w:pPr>
        <w:pStyle w:val="ListParagraph"/>
        <w:numPr>
          <w:ilvl w:val="0"/>
          <w:numId w:val="2"/>
        </w:numPr>
        <w:spacing w:after="80" w:line="290"/>
      </w:pPr>
      <w:r>
        <w:rPr>
          <w:rFonts w:ascii="Calibri" w:cs="Calibri" w:eastAsia="Calibri" w:hAnsi="Calibri"/>
          <w:color w:val="3A4A61"/>
          <w:sz w:val="21"/>
          <w:szCs w:val="21"/>
        </w:rPr>
        <w:t xml:space="preserve">Şirket verileri yalnızca Şirket cihaz ve sistemlerinde, güvenli bağlantı üzerinden işlenir; kişisel hesaplara aktarılmaz.</w:t>
      </w:r>
    </w:p>
    <w:p>
      <w:pPr>
        <w:pStyle w:val="ListParagraph"/>
        <w:numPr>
          <w:ilvl w:val="0"/>
          <w:numId w:val="2"/>
        </w:numPr>
        <w:spacing w:after="80" w:line="290"/>
      </w:pPr>
      <w:r>
        <w:rPr>
          <w:rFonts w:ascii="Calibri" w:cs="Calibri" w:eastAsia="Calibri" w:hAnsi="Calibri"/>
          <w:color w:val="3A4A61"/>
          <w:sz w:val="21"/>
          <w:szCs w:val="21"/>
        </w:rPr>
        <w:t xml:space="preserve">Ortak alanlarda gizli bilgi içeren çalışma yapılmaz; ekran kilidi ve çok faktörlü kimlik doğrulama kullanılır.</w:t>
      </w:r>
    </w:p>
    <w:p>
      <w:pPr>
        <w:pStyle w:val="ListParagraph"/>
        <w:numPr>
          <w:ilvl w:val="0"/>
          <w:numId w:val="2"/>
        </w:numPr>
        <w:spacing w:after="80" w:line="290"/>
      </w:pPr>
      <w:r>
        <w:rPr>
          <w:rFonts w:ascii="Calibri" w:cs="Calibri" w:eastAsia="Calibri" w:hAnsi="Calibri"/>
          <w:color w:val="3A4A61"/>
          <w:sz w:val="21"/>
          <w:szCs w:val="21"/>
        </w:rPr>
        <w:t xml:space="preserve">Güvenlik ihlali şüphesi derhal </w:t>
      </w:r>
      <w:r>
        <w:rPr>
          <w:rFonts w:ascii="Calibri" w:cs="Calibri" w:eastAsia="Calibri" w:hAnsi="Calibri"/>
          <w:color w:val="1D5888"/>
          <w:sz w:val="21"/>
          <w:szCs w:val="21"/>
          <w:shd w:fill="EAF1F8" w:color="auto" w:val="clear"/>
        </w:rPr>
        <w:t xml:space="preserve">[Bilgi Güvenliği birimi]</w:t>
      </w:r>
      <w:r>
        <w:rPr>
          <w:rFonts w:ascii="Calibri" w:cs="Calibri" w:eastAsia="Calibri" w:hAnsi="Calibri"/>
          <w:color w:val="3A4A61"/>
          <w:sz w:val="21"/>
          <w:szCs w:val="21"/>
        </w:rPr>
        <w:t xml:space="preserve">ne bildirilir. Kişisel veri ihlallerinde Şirket'in Kişisel Verileri Koruma Kurulu'na en kısa sürede ve en geç 72 saat içinde bildirim yükümlülüğü bulunduğundan gecikmeksizin bildirim kritik önemdedir.</w:t>
      </w:r>
    </w:p>
    <w:p>
      <w:pPr>
        <w:pStyle w:val="ListParagraph"/>
        <w:numPr>
          <w:ilvl w:val="0"/>
          <w:numId w:val="2"/>
        </w:numPr>
        <w:spacing w:after="80" w:line="290"/>
      </w:pPr>
      <w:r>
        <w:rPr>
          <w:rFonts w:ascii="Calibri" w:cs="Calibri" w:eastAsia="Calibri" w:hAnsi="Calibri"/>
          <w:color w:val="3A4A61"/>
          <w:sz w:val="21"/>
          <w:szCs w:val="21"/>
        </w:rPr>
        <w:t xml:space="preserve">Çalışanların çalışma süresi veya sistem kullanımına ilişkin izleme yapılacaksa amaç, kapsam ve süre aydınlatma metniyle önceden bildirilir; ölçülülük ilkesine uyulur.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İş Sağlığı ve Güvenliği</w:t>
      </w:r>
    </w:p>
    <w:p>
      <w:pPr>
        <w:pStyle w:val="ListParagraph"/>
        <w:numPr>
          <w:ilvl w:val="0"/>
          <w:numId w:val="2"/>
        </w:numPr>
        <w:spacing w:after="80" w:line="290"/>
      </w:pPr>
      <w:r>
        <w:rPr>
          <w:rFonts w:ascii="Calibri" w:cs="Calibri" w:eastAsia="Calibri" w:hAnsi="Calibri"/>
          <w:color w:val="3A4A61"/>
          <w:sz w:val="21"/>
          <w:szCs w:val="21"/>
        </w:rPr>
        <w:t xml:space="preserve">Şirket, uzaktan çalışanları işin niteliğine uygun İSG önlemleri konusunda bilgilendirir, gerekli eğitimi verir ve sağlık gözetimini sağlar.</w:t>
      </w:r>
    </w:p>
    <w:p>
      <w:pPr>
        <w:pStyle w:val="ListParagraph"/>
        <w:numPr>
          <w:ilvl w:val="0"/>
          <w:numId w:val="2"/>
        </w:numPr>
        <w:spacing w:after="80" w:line="290"/>
      </w:pPr>
      <w:r>
        <w:rPr>
          <w:rFonts w:ascii="Calibri" w:cs="Calibri" w:eastAsia="Calibri" w:hAnsi="Calibri"/>
          <w:color w:val="3A4A61"/>
          <w:sz w:val="21"/>
          <w:szCs w:val="21"/>
        </w:rPr>
        <w:t xml:space="preserve">Çalışanlar ev ofis ergonomisi kontrol listesini doldurur ve çalışma alanını buna göre düzenler.</w:t>
      </w:r>
    </w:p>
    <w:p>
      <w:pPr>
        <w:pStyle w:val="ListParagraph"/>
        <w:numPr>
          <w:ilvl w:val="0"/>
          <w:numId w:val="2"/>
        </w:numPr>
        <w:spacing w:after="80" w:line="290"/>
      </w:pPr>
      <w:r>
        <w:rPr>
          <w:rFonts w:ascii="Calibri" w:cs="Calibri" w:eastAsia="Calibri" w:hAnsi="Calibri"/>
          <w:color w:val="3A4A61"/>
          <w:sz w:val="21"/>
          <w:szCs w:val="21"/>
        </w:rPr>
        <w:t xml:space="preserve">Çalışma sırasında yaşanan kazalar derhal yöneticiye ve İK'ya bildirilir; Şirket iş kazası bildirimini mevzuattaki süre içinde yapar.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Performans, İletişim ve Toplantı Kuralları</w:t>
      </w:r>
    </w:p>
    <w:p>
      <w:pPr>
        <w:pStyle w:val="ListParagraph"/>
        <w:numPr>
          <w:ilvl w:val="0"/>
          <w:numId w:val="2"/>
        </w:numPr>
        <w:spacing w:after="80" w:line="290"/>
      </w:pPr>
      <w:r>
        <w:rPr>
          <w:rFonts w:ascii="Calibri" w:cs="Calibri" w:eastAsia="Calibri" w:hAnsi="Calibri"/>
          <w:color w:val="3A4A61"/>
          <w:sz w:val="21"/>
          <w:szCs w:val="21"/>
        </w:rPr>
        <w:t xml:space="preserve">Performans, çalışılan yerden bağımsız olarak hedefler ve çıktılar üzerinden değerlendirilir.</w:t>
      </w:r>
    </w:p>
    <w:p>
      <w:pPr>
        <w:pStyle w:val="ListParagraph"/>
        <w:numPr>
          <w:ilvl w:val="0"/>
          <w:numId w:val="2"/>
        </w:numPr>
        <w:spacing w:after="80" w:line="290"/>
      </w:pPr>
      <w:r>
        <w:rPr>
          <w:rFonts w:ascii="Calibri" w:cs="Calibri" w:eastAsia="Calibri" w:hAnsi="Calibri"/>
          <w:color w:val="3A4A61"/>
          <w:sz w:val="21"/>
          <w:szCs w:val="21"/>
        </w:rPr>
        <w:t xml:space="preserve">Yöneticiler uzaktan çalışan ekip üyeleriyle en az </w:t>
      </w:r>
      <w:r>
        <w:rPr>
          <w:rFonts w:ascii="Calibri" w:cs="Calibri" w:eastAsia="Calibri" w:hAnsi="Calibri"/>
          <w:color w:val="1D5888"/>
          <w:sz w:val="21"/>
          <w:szCs w:val="21"/>
          <w:shd w:fill="EAF1F8" w:color="auto" w:val="clear"/>
        </w:rPr>
        <w:t xml:space="preserve">[iki haftada bir]</w:t>
      </w:r>
      <w:r>
        <w:rPr>
          <w:rFonts w:ascii="Calibri" w:cs="Calibri" w:eastAsia="Calibri" w:hAnsi="Calibri"/>
          <w:color w:val="3A4A61"/>
          <w:sz w:val="21"/>
          <w:szCs w:val="21"/>
        </w:rPr>
        <w:t xml:space="preserve"> bire bir görüşme yapar.</w:t>
      </w:r>
    </w:p>
    <w:p>
      <w:pPr>
        <w:pStyle w:val="ListParagraph"/>
        <w:numPr>
          <w:ilvl w:val="0"/>
          <w:numId w:val="2"/>
        </w:numPr>
        <w:spacing w:after="80" w:line="290"/>
      </w:pPr>
      <w:r>
        <w:rPr>
          <w:rFonts w:ascii="Calibri" w:cs="Calibri" w:eastAsia="Calibri" w:hAnsi="Calibri"/>
          <w:color w:val="3A4A61"/>
          <w:sz w:val="21"/>
          <w:szCs w:val="21"/>
        </w:rPr>
        <w:t xml:space="preserve">Toplantılar gündemli ve süreli planlanır; karma toplantılarda uzaktan katılanların eşit söz hakkı gözetilir.</w:t>
      </w:r>
    </w:p>
    <w:p>
      <w:pPr>
        <w:pStyle w:val="ListParagraph"/>
        <w:numPr>
          <w:ilvl w:val="0"/>
          <w:numId w:val="2"/>
        </w:numPr>
        <w:spacing w:after="80" w:line="290"/>
      </w:pPr>
      <w:r>
        <w:rPr>
          <w:rFonts w:ascii="Calibri" w:cs="Calibri" w:eastAsia="Calibri" w:hAnsi="Calibri"/>
          <w:color w:val="3A4A61"/>
          <w:sz w:val="21"/>
          <w:szCs w:val="21"/>
        </w:rPr>
        <w:t xml:space="preserve">Kararlar ve duyurular yazılı kanallarda paylaşılır; yalnızca ofiste konuşulup kayda geçmeyen karar alınmaz.</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Puantaj, Yan Haklar ve Bordro</w:t>
      </w:r>
    </w:p>
    <w:p>
      <w:pPr>
        <w:pStyle w:val="ListParagraph"/>
        <w:numPr>
          <w:ilvl w:val="0"/>
          <w:numId w:val="2"/>
        </w:numPr>
        <w:spacing w:after="80" w:line="290"/>
      </w:pPr>
      <w:r>
        <w:rPr>
          <w:rFonts w:ascii="Calibri" w:cs="Calibri" w:eastAsia="Calibri" w:hAnsi="Calibri"/>
          <w:color w:val="3A4A61"/>
          <w:sz w:val="21"/>
          <w:szCs w:val="21"/>
        </w:rPr>
        <w:t xml:space="preserve">Uzaktan ve ofiste çalışılan günler puantajda ayrı kodlarla işaretlenir.</w:t>
      </w:r>
    </w:p>
    <w:p>
      <w:pPr>
        <w:pStyle w:val="ListParagraph"/>
        <w:numPr>
          <w:ilvl w:val="0"/>
          <w:numId w:val="2"/>
        </w:numPr>
        <w:spacing w:after="80" w:line="290"/>
      </w:pPr>
      <w:r>
        <w:rPr>
          <w:rFonts w:ascii="Calibri" w:cs="Calibri" w:eastAsia="Calibri" w:hAnsi="Calibri"/>
          <w:color w:val="3A4A61"/>
          <w:sz w:val="21"/>
          <w:szCs w:val="21"/>
        </w:rPr>
        <w:t xml:space="preserve">Yemek, yol ve benzeri yan hakların uzaktan çalışılan günlerde nasıl uygulanacağı Yan Haklar Politikası'nda belirlenir; vergi ve SGK uygulaması güncel mevzuata göre bordro birimince değerlendirilir.</w:t>
      </w:r>
    </w:p>
    <w:p>
      <w:pPr>
        <w:pStyle w:val="ListParagraph"/>
        <w:numPr>
          <w:ilvl w:val="0"/>
          <w:numId w:val="2"/>
        </w:numPr>
        <w:spacing w:after="80" w:line="290"/>
      </w:pPr>
      <w:r>
        <w:rPr>
          <w:rFonts w:ascii="Calibri" w:cs="Calibri" w:eastAsia="Calibri" w:hAnsi="Calibri"/>
          <w:color w:val="3A4A61"/>
          <w:sz w:val="21"/>
          <w:szCs w:val="21"/>
        </w:rPr>
        <w:t xml:space="preserve">Uzaktan çalışma nedeniyle ücret, prim ve diğer haklarda emsal çalışana göre, niteliği gereği zorunlu olmadıkça, farklı uygulama yapılmaz.</w:t>
      </w: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Eşitlik ve Kapsayıcılık</w:t>
      </w:r>
    </w:p>
    <w:p>
      <w:pPr>
        <w:spacing w:after="120" w:before="0" w:line="300"/>
        <w:jc w:val="both"/>
      </w:pPr>
      <w:r>
        <w:rPr>
          <w:rFonts w:ascii="Calibri" w:cs="Calibri" w:eastAsia="Calibri" w:hAnsi="Calibri"/>
          <w:color w:val="3A4A61"/>
          <w:sz w:val="21"/>
          <w:szCs w:val="21"/>
        </w:rPr>
        <w:t xml:space="preserve">Uzaktan veya hibrit çalışan ile işyerinde çalışan arasında eğitim, kariyer gelişimi, terfi ve sosyal etkinliklere erişim bakımından ayrım yapılmaz. Yöneticiler görünürlük farkının değerlendirmelere yansımaması için çıktı odaklı ölçütler kullanır.</w:t>
      </w:r>
    </w:p>
    <w:p>
      <w:pPr>
        <w:keepNext/>
        <w:pBdr>
          <w:bottom w:val="single" w:color="DCE4EE" w:sz="6" w:space="4"/>
        </w:pBdr>
        <w:spacing w:before="280" w:after="120"/>
      </w:pPr>
      <w:r>
        <w:rPr>
          <w:rFonts w:ascii="Calibri" w:cs="Calibri" w:eastAsia="Calibri" w:hAnsi="Calibri"/>
          <w:b/>
          <w:bCs/>
          <w:color w:val="13B8A7"/>
          <w:sz w:val="25"/>
          <w:szCs w:val="25"/>
        </w:rPr>
        <w:t xml:space="preserve">16. </w:t>
      </w:r>
      <w:r>
        <w:rPr>
          <w:rFonts w:ascii="Calibri" w:cs="Calibri" w:eastAsia="Calibri" w:hAnsi="Calibri"/>
          <w:b/>
          <w:bCs/>
          <w:color w:val="0E2849"/>
          <w:sz w:val="25"/>
          <w:szCs w:val="25"/>
        </w:rPr>
        <w:t xml:space="preserve">Modelin Değiştirilmesi, Askıya Alınması ve İşyerine Dönüş</w:t>
      </w:r>
    </w:p>
    <w:p>
      <w:pPr>
        <w:pStyle w:val="ListParagraph"/>
        <w:numPr>
          <w:ilvl w:val="0"/>
          <w:numId w:val="2"/>
        </w:numPr>
        <w:spacing w:after="80" w:line="290"/>
      </w:pPr>
      <w:r>
        <w:rPr>
          <w:rFonts w:ascii="Calibri" w:cs="Calibri" w:eastAsia="Calibri" w:hAnsi="Calibri"/>
          <w:color w:val="3A4A61"/>
          <w:sz w:val="21"/>
          <w:szCs w:val="21"/>
        </w:rPr>
        <w:t xml:space="preserve">İş ihtiyaçlarında, görev değişikliğinde veya politika kurallarına uyulmaması halinde model yeniden değerlendirilebilir.</w:t>
      </w:r>
    </w:p>
    <w:p>
      <w:pPr>
        <w:pStyle w:val="ListParagraph"/>
        <w:numPr>
          <w:ilvl w:val="0"/>
          <w:numId w:val="2"/>
        </w:numPr>
        <w:spacing w:after="80" w:line="290"/>
      </w:pPr>
      <w:r>
        <w:rPr>
          <w:rFonts w:ascii="Calibri" w:cs="Calibri" w:eastAsia="Calibri" w:hAnsi="Calibri"/>
          <w:color w:val="3A4A61"/>
          <w:sz w:val="21"/>
          <w:szCs w:val="21"/>
        </w:rPr>
        <w:t xml:space="preserve">Çalışan da işyerinde çalışmaya dönüş talebinde bulunabilir; talep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değerlendirilir.</w:t>
      </w:r>
    </w:p>
    <w:p>
      <w:pPr>
        <w:pStyle w:val="ListParagraph"/>
        <w:numPr>
          <w:ilvl w:val="0"/>
          <w:numId w:val="2"/>
        </w:numPr>
        <w:spacing w:after="80" w:line="290"/>
      </w:pPr>
      <w:r>
        <w:rPr>
          <w:rFonts w:ascii="Calibri" w:cs="Calibri" w:eastAsia="Calibri" w:hAnsi="Calibri"/>
          <w:color w:val="3A4A61"/>
          <w:sz w:val="21"/>
          <w:szCs w:val="21"/>
        </w:rPr>
        <w:t xml:space="preserve">Çalışma koşullarında esaslı değişiklik sayılabilecek durumlarda İş Kanunu md. 22 hükümleri uygulanır.</w:t>
      </w:r>
    </w:p>
    <w:p>
      <w:pPr>
        <w:pStyle w:val="ListParagraph"/>
        <w:numPr>
          <w:ilvl w:val="0"/>
          <w:numId w:val="2"/>
        </w:numPr>
        <w:spacing w:after="80" w:line="290"/>
      </w:pPr>
      <w:r>
        <w:rPr>
          <w:rFonts w:ascii="Calibri" w:cs="Calibri" w:eastAsia="Calibri" w:hAnsi="Calibri"/>
          <w:color w:val="3A4A61"/>
          <w:sz w:val="21"/>
          <w:szCs w:val="21"/>
        </w:rPr>
        <w:t xml:space="preserve">Zorlayıcı sebeplerin ortaya çıkması halinde uzaktan çalışmaya geçişe ilişkin mevzuattaki özel hükümler saklıdır.</w:t>
      </w:r>
    </w:p>
    <w:p>
      <w:pPr>
        <w:keepNext/>
        <w:pBdr>
          <w:bottom w:val="single" w:color="DCE4EE" w:sz="6" w:space="4"/>
        </w:pBdr>
        <w:spacing w:before="280" w:after="120"/>
      </w:pPr>
      <w:r>
        <w:rPr>
          <w:rFonts w:ascii="Calibri" w:cs="Calibri" w:eastAsia="Calibri" w:hAnsi="Calibri"/>
          <w:b/>
          <w:bCs/>
          <w:color w:val="13B8A7"/>
          <w:sz w:val="25"/>
          <w:szCs w:val="25"/>
        </w:rPr>
        <w:t xml:space="preserve">17. </w:t>
      </w:r>
      <w:r>
        <w:rPr>
          <w:rFonts w:ascii="Calibri" w:cs="Calibri" w:eastAsia="Calibri" w:hAnsi="Calibri"/>
          <w:b/>
          <w:bCs/>
          <w:color w:val="0E2849"/>
          <w:sz w:val="25"/>
          <w:szCs w:val="25"/>
        </w:rPr>
        <w:t xml:space="preserve">Rol ve Sorumluluklar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570"/>
        <w:gridCol w:w="7068"/>
      </w:tblGrid>
      <w:tr>
        <w:trPr>
          <w:cantSplit/>
          <w:trHeight w:val="400" w:hRule="atLeast"/>
        </w:trPr>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Rol</w:t>
            </w:r>
          </w:p>
        </w:tc>
        <w:tc>
          <w:tcPr>
            <w:tcW w:type="dxa" w:w="70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Sorumluluklar</w:t>
            </w:r>
          </w:p>
        </w:tc>
      </w:tr>
      <w:tr>
        <w:trPr>
          <w:cantSplit/>
          <w:trHeight w:val="380" w:hRule="atLeast"/>
        </w:trPr>
        <w:tc>
          <w:tcPr>
            <w:tcW w:type="dxa" w:w="25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w:t>
            </w:r>
          </w:p>
        </w:tc>
        <w:tc>
          <w:tcPr>
            <w:tcW w:type="dxa" w:w="7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Politikaya ve sözleşmeye uymak, ulaşılabilir olmak, çalışma süresini doğru kaydetmek, ekipmanı ve verileri korumak</w:t>
            </w:r>
          </w:p>
        </w:tc>
      </w:tr>
      <w:tr>
        <w:trPr>
          <w:cantSplit/>
          <w:trHeight w:val="380" w:hRule="atLeast"/>
        </w:trPr>
        <w:tc>
          <w:tcPr>
            <w:tcW w:type="dxa" w:w="25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Birim yöneticisi</w:t>
            </w:r>
          </w:p>
        </w:tc>
        <w:tc>
          <w:tcPr>
            <w:tcW w:type="dxa" w:w="7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Uygunluğu değerlendirmek, hedef koymak, ofis günlerini planlamak, eşit uygulamayı sağlamak</w:t>
            </w:r>
          </w:p>
        </w:tc>
      </w:tr>
      <w:tr>
        <w:trPr>
          <w:cantSplit/>
          <w:trHeight w:val="380" w:hRule="atLeast"/>
        </w:trPr>
        <w:tc>
          <w:tcPr>
            <w:tcW w:type="dxa" w:w="25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7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Süreci yönetmek, sözleşmeleri düzenlemek, eğitimleri planlamak, politikayı güncel tutmak</w:t>
            </w:r>
          </w:p>
        </w:tc>
      </w:tr>
      <w:tr>
        <w:trPr>
          <w:cantSplit/>
          <w:trHeight w:val="380" w:hRule="atLeast"/>
        </w:trPr>
        <w:tc>
          <w:tcPr>
            <w:tcW w:type="dxa" w:w="25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 Teknolojileri</w:t>
            </w:r>
          </w:p>
        </w:tc>
        <w:tc>
          <w:tcPr>
            <w:tcW w:type="dxa" w:w="7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Ekipman ve güvenli erişimi sağlamak, teknik destek vermek, güvenlik olaylarını yönetmek</w:t>
            </w:r>
          </w:p>
        </w:tc>
      </w:tr>
      <w:tr>
        <w:trPr>
          <w:cantSplit/>
          <w:trHeight w:val="380" w:hRule="atLeast"/>
        </w:trPr>
        <w:tc>
          <w:tcPr>
            <w:tcW w:type="dxa" w:w="25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birimi</w:t>
            </w:r>
          </w:p>
        </w:tc>
        <w:tc>
          <w:tcPr>
            <w:tcW w:type="dxa" w:w="7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Uzaktan çalışma risklerini değerlendirmek, ergonomi rehberi ve eğitim sağlamak</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18. </w:t>
      </w:r>
      <w:r>
        <w:rPr>
          <w:rFonts w:ascii="Calibri" w:cs="Calibri" w:eastAsia="Calibri" w:hAnsi="Calibri"/>
          <w:b/>
          <w:bCs/>
          <w:color w:val="0E2849"/>
          <w:sz w:val="25"/>
          <w:szCs w:val="25"/>
        </w:rPr>
        <w:t xml:space="preserve">Politikaya Aykırılık</w:t>
      </w:r>
    </w:p>
    <w:p>
      <w:pPr>
        <w:spacing w:after="120" w:before="0" w:line="300"/>
        <w:jc w:val="both"/>
      </w:pPr>
      <w:r>
        <w:rPr>
          <w:rFonts w:ascii="Calibri" w:cs="Calibri" w:eastAsia="Calibri" w:hAnsi="Calibri"/>
          <w:color w:val="3A4A61"/>
          <w:sz w:val="21"/>
          <w:szCs w:val="21"/>
        </w:rPr>
        <w:t xml:space="preserve">Bu politikaya aykırı davranışlar, aykırılığın niteliğine göre çalışma modelinin yeniden değerlendirilmesine ve Disiplin Yönetmeliği kapsamında işlem yapılmasına neden olabilir. Disiplin işlemlerinde çalışanın savunması alınır.</w:t>
      </w:r>
    </w:p>
    <w:p>
      <w:pPr>
        <w:keepNext/>
        <w:pBdr>
          <w:bottom w:val="single" w:color="DCE4EE" w:sz="6" w:space="4"/>
        </w:pBdr>
        <w:spacing w:before="280" w:after="120"/>
      </w:pPr>
      <w:r>
        <w:rPr>
          <w:rFonts w:ascii="Calibri" w:cs="Calibri" w:eastAsia="Calibri" w:hAnsi="Calibri"/>
          <w:b/>
          <w:bCs/>
          <w:color w:val="13B8A7"/>
          <w:sz w:val="25"/>
          <w:szCs w:val="25"/>
        </w:rPr>
        <w:t xml:space="preserve">19. </w:t>
      </w:r>
      <w:r>
        <w:rPr>
          <w:rFonts w:ascii="Calibri" w:cs="Calibri" w:eastAsia="Calibri" w:hAnsi="Calibri"/>
          <w:b/>
          <w:bCs/>
          <w:color w:val="0E2849"/>
          <w:sz w:val="25"/>
          <w:szCs w:val="25"/>
        </w:rPr>
        <w:t xml:space="preserve">Yürürlük ve Gözden Geçirme</w:t>
      </w:r>
    </w:p>
    <w:p>
      <w:pPr>
        <w:spacing w:after="120" w:before="0" w:line="300"/>
        <w:jc w:val="both"/>
      </w:pPr>
      <w:r>
        <w:rPr>
          <w:rFonts w:ascii="Calibri" w:cs="Calibri" w:eastAsia="Calibri" w:hAnsi="Calibri"/>
          <w:color w:val="3A4A61"/>
          <w:sz w:val="21"/>
          <w:szCs w:val="21"/>
        </w:rPr>
        <w:t xml:space="preserve">Bu politika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yürürlüğe girer. Politika İnsan Kaynakları tarafından yılda en az bir kez ve mevzuat değişikliklerinde gözden geçirilir; değişiklikler çalışanlara yazılı olarak duyurulur.</w:t>
      </w:r>
    </w:p>
    <w:p>
      <w:pPr>
        <w:spacing w:after="120" w:before="0" w:line="300"/>
        <w:jc w:val="both"/>
      </w:pPr>
      <w:r>
        <w:rPr>
          <w:rFonts w:ascii="Calibri" w:cs="Calibri" w:eastAsia="Calibri" w:hAnsi="Calibri"/>
          <w:b/>
          <w:bCs/>
          <w:color w:val="3A4A61"/>
          <w:sz w:val="21"/>
          <w:szCs w:val="21"/>
        </w:rPr>
        <w:t xml:space="preserve">Çalışan Bilgilendirme ve Taahhüt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Uzaktan ve Hibrit Çalışma Politikası'nı okudum, anladım ve bir kopyasını teslim aldım. Politikada yer alan kurallara uyacağımı beyan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Modeli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POLİTİKA ŞABLONU</w:t>
          </w:r>
          <w:r>
            <w:rPr>
              <w:rFonts w:ascii="Calibri" w:cs="Calibri" w:eastAsia="Calibri" w:hAnsi="Calibri"/>
              <w:color w:val="8C9BB0"/>
              <w:sz w:val="16"/>
              <w:szCs w:val="16"/>
            </w:rPr>
            <w:t xml:space="preserve">  ·  Politika No: [İK-P-07]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Uzaktan ve Hibrit Çalışma Politikası</dc:title>
  <dc:creator>İK Partner</dc:creator>
  <dc:description>Uzaktan ve Hibrit Çalışma Politikası — İK Partner (ikpartner.com) ücretsiz İK şablonu</dc:description>
  <cp:lastModifiedBy>Un-named</cp:lastModifiedBy>
  <cp:revision>1</cp:revision>
  <dcterms:created xsi:type="dcterms:W3CDTF">2026-10-12T11:08:17.153Z</dcterms:created>
  <dcterms:modified xsi:type="dcterms:W3CDTF">2026-10-12T11:08:17.153Z</dcterms:modified>
</cp:coreProperties>
</file>

<file path=docProps/custom.xml><?xml version="1.0" encoding="utf-8"?>
<Properties xmlns="http://schemas.openxmlformats.org/officeDocument/2006/custom-properties" xmlns:vt="http://schemas.openxmlformats.org/officeDocument/2006/docPropsVTypes"/>
</file>