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Uzaktan Çalışma Ekipman, Masraf ve Veri Güvenliği Protokolü</w:t>
      </w:r>
    </w:p>
    <w:p>
      <w:pPr>
        <w:pBdr>
          <w:bottom w:val="single" w:color="13B8A7" w:sz="12" w:space="8"/>
        </w:pBdr>
        <w:spacing w:after="220"/>
      </w:pPr>
      <w:r>
        <w:rPr>
          <w:rFonts w:ascii="Calibri" w:cs="Calibri" w:eastAsia="Calibri" w:hAnsi="Calibri"/>
          <w:color w:val="5A6B82"/>
          <w:sz w:val="21"/>
          <w:szCs w:val="21"/>
        </w:rPr>
        <w:t xml:space="preserve">Uzaktan çalışma sözleşmesinin eki: teslim edilen ekipman, masrafların karşılanması, bilgi güvenliği kuralları ve iade şartları.</w:t>
      </w:r>
    </w:p>
    <w:p>
      <w:pPr>
        <w:spacing w:after="120" w:before="0" w:line="300"/>
        <w:jc w:val="both"/>
      </w:pPr>
      <w:r>
        <w:rPr>
          <w:rFonts w:ascii="Calibri" w:cs="Calibri" w:eastAsia="Calibri" w:hAnsi="Calibri"/>
          <w:color w:val="3A4A61"/>
          <w:sz w:val="21"/>
          <w:szCs w:val="21"/>
        </w:rPr>
        <w:t xml:space="preserve">Bu protokol,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("İşveren") ile aşağıda bilgileri yer alan çalışan ("Çalışan") arasında imzalanan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iş sözleşmesinin / uzaktan çalışma sözleşmesinin ekidir ve onun ayrılmaz parçasıdır.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 ve Uzaktan Çalışma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Uzaktan Çalışma Düzeni (tam / hibrit)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Protokol Başlangıç Tarihi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Uzaktan çalışma adresi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Teslim Edilen Ekipman</w:t>
      </w:r>
    </w:p>
    <w:p>
      <w:pPr>
        <w:spacing w:after="120" w:before="0" w:line="300"/>
        <w:jc w:val="both"/>
      </w:pPr>
      <w:r>
        <w:rPr>
          <w:rFonts w:ascii="Calibri" w:cs="Calibri" w:eastAsia="Calibri" w:hAnsi="Calibri"/>
          <w:color w:val="3A4A61"/>
          <w:sz w:val="21"/>
          <w:szCs w:val="21"/>
        </w:rPr>
        <w:t xml:space="preserve">Aşağıdaki ekipman işin görülmesi amacıyla Çalışan'a teslim edilmiştir. Ekipman İşveren'in mülkiyetindedir.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313"/>
        <w:gridCol w:w="1734"/>
        <w:gridCol w:w="1734"/>
        <w:gridCol w:w="771"/>
        <w:gridCol w:w="1734"/>
        <w:gridCol w:w="1352"/>
      </w:tblGrid>
      <w:tr>
        <w:trPr>
          <w:cantSplit/>
          <w:trHeight w:val="400" w:hRule="atLeast"/>
        </w:trPr>
        <w:tc>
          <w:tcPr>
            <w:tcW w:type="dxa" w:w="23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Ekipman</w:t>
            </w:r>
          </w:p>
        </w:tc>
        <w:tc>
          <w:tcPr>
            <w:tcW w:type="dxa" w:w="17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Marka / Model</w:t>
            </w:r>
          </w:p>
        </w:tc>
        <w:tc>
          <w:tcPr>
            <w:tcW w:type="dxa" w:w="17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 Demirbaş No</w:t>
            </w:r>
          </w:p>
        </w:tc>
        <w:tc>
          <w:tcPr>
            <w:tcW w:type="dxa" w:w="7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Adet</w:t>
            </w:r>
          </w:p>
        </w:tc>
        <w:tc>
          <w:tcPr>
            <w:tcW w:type="dxa" w:w="17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Durumu</w:t>
            </w:r>
          </w:p>
        </w:tc>
        <w:tc>
          <w:tcPr>
            <w:tcW w:type="dxa" w:w="13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Tarihi</w:t>
            </w:r>
          </w:p>
        </w:tc>
      </w:tr>
      <w:tr>
        <w:trPr>
          <w:cantSplit/>
          <w:trHeight w:val="380" w:hRule="atLeast"/>
        </w:trPr>
        <w:tc>
          <w:tcPr>
            <w:tcW w:type="dxa" w:w="23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bilgisayar</w:t>
            </w:r>
          </w:p>
        </w:tc>
        <w:tc>
          <w:tcPr>
            <w:tcW w:type="dxa" w:w="1734"/>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7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7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tcMar>
              <w:top w:type="dxa" w:w="60"/>
              <w:left w:type="dxa" w:w="110"/>
              <w:bottom w:type="dxa" w:w="60"/>
              <w:right w:type="dxa" w:w="110"/>
            </w:tcMar>
            <w:vAlign w:val="center"/>
          </w:tcPr>
          <w:p>
            <w:pPr>
              <w:spacing w:before="40" w:after="40"/>
            </w:pPr>
          </w:p>
        </w:tc>
      </w:tr>
      <w:tr>
        <w:trPr>
          <w:cantSplit/>
          <w:trHeight w:val="380" w:hRule="atLeast"/>
        </w:trPr>
        <w:tc>
          <w:tcPr>
            <w:tcW w:type="dxa" w:w="23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Harici ekran</w:t>
            </w:r>
          </w:p>
        </w:tc>
        <w:tc>
          <w:tcPr>
            <w:tcW w:type="dxa" w:w="1734"/>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771"/>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Klavye / fare</w:t>
            </w:r>
          </w:p>
        </w:tc>
        <w:tc>
          <w:tcPr>
            <w:tcW w:type="dxa" w:w="1734"/>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771"/>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tcMar>
              <w:top w:type="dxa" w:w="60"/>
              <w:left w:type="dxa" w:w="110"/>
              <w:bottom w:type="dxa" w:w="60"/>
              <w:right w:type="dxa" w:w="110"/>
            </w:tcMar>
            <w:vAlign w:val="center"/>
          </w:tcPr>
          <w:p>
            <w:pPr>
              <w:spacing w:before="40" w:after="40"/>
            </w:pPr>
          </w:p>
        </w:tc>
      </w:tr>
      <w:tr>
        <w:trPr>
          <w:cantSplit/>
          <w:trHeight w:val="380" w:hRule="atLeast"/>
        </w:trPr>
        <w:tc>
          <w:tcPr>
            <w:tcW w:type="dxa" w:w="23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Kulaklık / kamera</w:t>
            </w:r>
          </w:p>
        </w:tc>
        <w:tc>
          <w:tcPr>
            <w:tcW w:type="dxa" w:w="1734"/>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771"/>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1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Cep telefonu ve hat</w:t>
            </w:r>
          </w:p>
        </w:tc>
        <w:tc>
          <w:tcPr>
            <w:tcW w:type="dxa" w:w="1734"/>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771"/>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tcMar>
              <w:top w:type="dxa" w:w="60"/>
              <w:left w:type="dxa" w:w="110"/>
              <w:bottom w:type="dxa" w:w="60"/>
              <w:right w:type="dxa" w:w="110"/>
            </w:tcMar>
            <w:vAlign w:val="center"/>
          </w:tcPr>
          <w:p>
            <w:pPr>
              <w:spacing w:before="40" w:after="40"/>
            </w:pPr>
          </w:p>
        </w:tc>
      </w:tr>
      <w:tr>
        <w:trPr>
          <w:cantSplit/>
          <w:trHeight w:val="380" w:hRule="atLeast"/>
        </w:trPr>
        <w:tc>
          <w:tcPr>
            <w:tcW w:type="dxa" w:w="23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Ergonomik sandalye / dizüstü standı</w:t>
            </w:r>
          </w:p>
        </w:tc>
        <w:tc>
          <w:tcPr>
            <w:tcW w:type="dxa" w:w="1734"/>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771"/>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Yeni  ☐ Kullanılmış</w:t>
            </w:r>
          </w:p>
        </w:tc>
        <w:tc>
          <w:tcPr>
            <w:tcW w:type="dxa" w:w="135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13"/>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771"/>
            <w:tcMar>
              <w:top w:type="dxa" w:w="60"/>
              <w:left w:type="dxa" w:w="110"/>
              <w:bottom w:type="dxa" w:w="60"/>
              <w:right w:type="dxa" w:w="110"/>
            </w:tcMar>
            <w:vAlign w:val="center"/>
          </w:tcPr>
          <w:p>
            <w:pPr>
              <w:spacing w:before="40" w:after="40"/>
            </w:pPr>
          </w:p>
        </w:tc>
        <w:tc>
          <w:tcPr>
            <w:tcW w:type="dxa" w:w="1734"/>
            <w:tcMar>
              <w:top w:type="dxa" w:w="60"/>
              <w:left w:type="dxa" w:w="110"/>
              <w:bottom w:type="dxa" w:w="60"/>
              <w:right w:type="dxa" w:w="110"/>
            </w:tcMar>
            <w:vAlign w:val="center"/>
          </w:tcPr>
          <w:p>
            <w:pPr>
              <w:spacing w:before="40" w:after="40"/>
            </w:pPr>
          </w:p>
        </w:tc>
        <w:tc>
          <w:tcPr>
            <w:tcW w:type="dxa" w:w="1352"/>
            <w:tcMar>
              <w:top w:type="dxa" w:w="60"/>
              <w:left w:type="dxa" w:w="110"/>
              <w:bottom w:type="dxa" w:w="60"/>
              <w:right w:type="dxa" w:w="110"/>
            </w:tcMar>
            <w:vAlign w:val="center"/>
          </w:tcPr>
          <w:p>
            <w:pPr>
              <w:spacing w:before="40" w:after="40"/>
            </w:pPr>
          </w:p>
        </w:tc>
      </w:tr>
      <w:tr>
        <w:trPr>
          <w:cantSplit/>
          <w:trHeight w:val="380" w:hRule="atLeast"/>
        </w:trPr>
        <w:tc>
          <w:tcPr>
            <w:tcW w:type="dxa" w:w="2313"/>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771"/>
            <w:shd w:fill="F5F8FB" w:color="auto" w:val="clear"/>
            <w:tcMar>
              <w:top w:type="dxa" w:w="60"/>
              <w:left w:type="dxa" w:w="110"/>
              <w:bottom w:type="dxa" w:w="60"/>
              <w:right w:type="dxa" w:w="110"/>
            </w:tcMar>
            <w:vAlign w:val="center"/>
          </w:tcPr>
          <w:p>
            <w:pPr>
              <w:spacing w:before="40" w:after="40"/>
            </w:pPr>
          </w:p>
        </w:tc>
        <w:tc>
          <w:tcPr>
            <w:tcW w:type="dxa" w:w="1734"/>
            <w:shd w:fill="F5F8FB" w:color="auto" w:val="clear"/>
            <w:tcMar>
              <w:top w:type="dxa" w:w="60"/>
              <w:left w:type="dxa" w:w="110"/>
              <w:bottom w:type="dxa" w:w="60"/>
              <w:right w:type="dxa" w:w="110"/>
            </w:tcMar>
            <w:vAlign w:val="center"/>
          </w:tcPr>
          <w:p>
            <w:pPr>
              <w:spacing w:before="40" w:after="40"/>
            </w:pPr>
          </w:p>
        </w:tc>
        <w:tc>
          <w:tcPr>
            <w:tcW w:type="dxa" w:w="1352"/>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kendi ekipmanını da kullanacaktır: </w:t>
      </w:r>
      <w:r>
        <w:rPr>
          <w:rFonts w:ascii="Calibri" w:cs="Calibri" w:eastAsia="Calibri" w:hAnsi="Calibri"/>
          <w:color w:val="1D5888"/>
          <w:sz w:val="21"/>
          <w:szCs w:val="21"/>
          <w:shd w:fill="EAF1F8" w:color="auto" w:val="clear"/>
        </w:rPr>
        <w:t xml:space="preserve">[Ekipman]</w:t>
      </w:r>
      <w:r>
        <w:rPr>
          <w:rFonts w:ascii="Calibri" w:cs="Calibri" w:eastAsia="Calibri" w:hAnsi="Calibri"/>
          <w:color w:val="3A4A61"/>
          <w:sz w:val="21"/>
          <w:szCs w:val="21"/>
        </w:rPr>
        <w:t xml:space="preserve"> – karşılık: </w:t>
      </w:r>
      <w:r>
        <w:rPr>
          <w:rFonts w:ascii="Calibri" w:cs="Calibri" w:eastAsia="Calibri" w:hAnsi="Calibri"/>
          <w:color w:val="1D5888"/>
          <w:sz w:val="21"/>
          <w:szCs w:val="21"/>
          <w:shd w:fill="EAF1F8" w:color="auto" w:val="clear"/>
        </w:rPr>
        <w:t xml:space="preserve">[Aylık tutar / yok]</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Ekipmanın Kullanımı ve Korunması</w:t>
      </w:r>
    </w:p>
    <w:p>
      <w:pPr>
        <w:pStyle w:val="ListParagraph"/>
        <w:numPr>
          <w:ilvl w:val="0"/>
          <w:numId w:val="2"/>
        </w:numPr>
        <w:spacing w:after="80" w:line="290"/>
      </w:pPr>
      <w:r>
        <w:rPr>
          <w:rFonts w:ascii="Calibri" w:cs="Calibri" w:eastAsia="Calibri" w:hAnsi="Calibri"/>
          <w:color w:val="3A4A61"/>
          <w:sz w:val="21"/>
          <w:szCs w:val="21"/>
        </w:rPr>
        <w:t xml:space="preserve">Ekipman yalnızca işin görülmesi için kullanılır; aile bireyleri dahil üçüncü kişilerin kullanımına verilmez.</w:t>
      </w:r>
    </w:p>
    <w:p>
      <w:pPr>
        <w:pStyle w:val="ListParagraph"/>
        <w:numPr>
          <w:ilvl w:val="0"/>
          <w:numId w:val="2"/>
        </w:numPr>
        <w:spacing w:after="80" w:line="290"/>
      </w:pPr>
      <w:r>
        <w:rPr>
          <w:rFonts w:ascii="Calibri" w:cs="Calibri" w:eastAsia="Calibri" w:hAnsi="Calibri"/>
          <w:color w:val="3A4A61"/>
          <w:sz w:val="21"/>
          <w:szCs w:val="21"/>
        </w:rPr>
        <w:t xml:space="preserve">Çalışan ekipmanı özenle kullanır, uygun ortamda muhafaza eder; kayıp, çalınma veya arızayı öğrendiği anda </w:t>
      </w:r>
      <w:r>
        <w:rPr>
          <w:rFonts w:ascii="Calibri" w:cs="Calibri" w:eastAsia="Calibri" w:hAnsi="Calibri"/>
          <w:color w:val="1D5888"/>
          <w:sz w:val="21"/>
          <w:szCs w:val="21"/>
          <w:shd w:fill="EAF1F8" w:color="auto" w:val="clear"/>
        </w:rPr>
        <w:t xml:space="preserve">[Bilgi İşlem e-postası / telefon]</w:t>
      </w:r>
      <w:r>
        <w:rPr>
          <w:rFonts w:ascii="Calibri" w:cs="Calibri" w:eastAsia="Calibri" w:hAnsi="Calibri"/>
          <w:color w:val="3A4A61"/>
          <w:sz w:val="21"/>
          <w:szCs w:val="21"/>
        </w:rPr>
        <w:t xml:space="preserve"> üzerinden bildirir.</w:t>
      </w:r>
    </w:p>
    <w:p>
      <w:pPr>
        <w:pStyle w:val="ListParagraph"/>
        <w:numPr>
          <w:ilvl w:val="0"/>
          <w:numId w:val="2"/>
        </w:numPr>
        <w:spacing w:after="80" w:line="290"/>
      </w:pPr>
      <w:r>
        <w:rPr>
          <w:rFonts w:ascii="Calibri" w:cs="Calibri" w:eastAsia="Calibri" w:hAnsi="Calibri"/>
          <w:color w:val="3A4A61"/>
          <w:sz w:val="21"/>
          <w:szCs w:val="21"/>
        </w:rPr>
        <w:t xml:space="preserve">İşveren onayı olmadan yazılım kurulmaz, güvenlik yazılımı devre dışı bırakılmaz, donanım değişikliği yapılmaz.</w:t>
      </w:r>
    </w:p>
    <w:p>
      <w:pPr>
        <w:pStyle w:val="ListParagraph"/>
        <w:numPr>
          <w:ilvl w:val="0"/>
          <w:numId w:val="2"/>
        </w:numPr>
        <w:spacing w:after="80" w:line="290"/>
      </w:pPr>
      <w:r>
        <w:rPr>
          <w:rFonts w:ascii="Calibri" w:cs="Calibri" w:eastAsia="Calibri" w:hAnsi="Calibri"/>
          <w:color w:val="3A4A61"/>
          <w:sz w:val="21"/>
          <w:szCs w:val="21"/>
        </w:rPr>
        <w:t xml:space="preserve">Bakım, onarım ve yazılım güncellemeleri İşveren tarafından veya İşveren'in yetkilendirdiği servis aracılığıyla yapılır.</w:t>
      </w:r>
    </w:p>
    <w:p>
      <w:pPr>
        <w:pStyle w:val="ListParagraph"/>
        <w:numPr>
          <w:ilvl w:val="0"/>
          <w:numId w:val="2"/>
        </w:numPr>
        <w:spacing w:after="80" w:line="290"/>
      </w:pPr>
      <w:r>
        <w:rPr>
          <w:rFonts w:ascii="Calibri" w:cs="Calibri" w:eastAsia="Calibri" w:hAnsi="Calibri"/>
          <w:color w:val="3A4A61"/>
          <w:sz w:val="21"/>
          <w:szCs w:val="21"/>
        </w:rPr>
        <w:t xml:space="preserve">Olağan kullanımdan kaynaklanan yıpranma Çalışan'a yüklenmez. Çalışan'ın kusuruyla doğan zararda sorumluluk, genel hükümler çerçevesinde kusurun derecesine göre belirlenir; tazminat tutarı tek taraflı olarak ücretten kesilmez.</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Masrafların Karşılanması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94"/>
        <w:gridCol w:w="3901"/>
        <w:gridCol w:w="1606"/>
        <w:gridCol w:w="1837"/>
      </w:tblGrid>
      <w:tr>
        <w:trPr>
          <w:cantSplit/>
          <w:trHeight w:val="400" w:hRule="atLeast"/>
        </w:trPr>
        <w:tc>
          <w:tcPr>
            <w:tcW w:type="dxa" w:w="229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Masraf Kalemi</w:t>
            </w:r>
          </w:p>
        </w:tc>
        <w:tc>
          <w:tcPr>
            <w:tcW w:type="dxa" w:w="39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Karşılama Yöntemi</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Limit</w:t>
            </w:r>
          </w:p>
        </w:tc>
        <w:tc>
          <w:tcPr>
            <w:tcW w:type="dxa" w:w="18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Zamanı</w:t>
            </w:r>
          </w:p>
        </w:tc>
      </w:tr>
      <w:tr>
        <w:trPr>
          <w:cantSplit/>
          <w:trHeight w:val="380" w:hRule="atLeast"/>
        </w:trPr>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İnternet</w:t>
            </w:r>
          </w:p>
        </w:tc>
        <w:tc>
          <w:tcPr>
            <w:tcW w:type="dxa" w:w="39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Sabit aylık destek  ☐ Fatura karşılığı  ☐ Karşılanmaz</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83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 masraf]</w:t>
            </w:r>
          </w:p>
        </w:tc>
      </w:tr>
      <w:tr>
        <w:trPr>
          <w:cantSplit/>
          <w:trHeight w:val="380" w:hRule="atLeast"/>
        </w:trPr>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Elektrik / ısınma</w:t>
            </w:r>
          </w:p>
        </w:tc>
        <w:tc>
          <w:tcPr>
            <w:tcW w:type="dxa" w:w="39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Sabit aylık destek  ☐ Karşılanmaz</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Telefon / hat</w:t>
            </w:r>
          </w:p>
        </w:tc>
        <w:tc>
          <w:tcPr>
            <w:tcW w:type="dxa" w:w="39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hattı  ☐ Fatura karşılığı</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837"/>
            <w:tcMar>
              <w:top w:type="dxa" w:w="60"/>
              <w:left w:type="dxa" w:w="110"/>
              <w:bottom w:type="dxa" w:w="60"/>
              <w:right w:type="dxa" w:w="110"/>
            </w:tcMar>
            <w:vAlign w:val="center"/>
          </w:tcPr>
          <w:p>
            <w:pPr>
              <w:spacing w:before="40" w:after="40"/>
            </w:pPr>
          </w:p>
        </w:tc>
      </w:tr>
      <w:tr>
        <w:trPr>
          <w:cantSplit/>
          <w:trHeight w:val="380" w:hRule="atLeast"/>
        </w:trPr>
        <w:tc>
          <w:tcPr>
            <w:tcW w:type="dxa" w:w="229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Kırtasiye / sarf malzemesi</w:t>
            </w:r>
          </w:p>
        </w:tc>
        <w:tc>
          <w:tcPr>
            <w:tcW w:type="dxa" w:w="39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Belge karşılığı</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[Limit]</w:t>
            </w:r>
            <w:r>
              <w:rPr>
                <w:rFonts w:ascii="Calibri" w:cs="Calibri" w:eastAsia="Calibri" w:hAnsi="Calibri"/>
                <w:color w:val="3A4A61"/>
                <w:sz w:val="19"/>
                <w:szCs w:val="19"/>
              </w:rPr>
              <w:t xml:space="preserve"> TL</w:t>
            </w:r>
          </w:p>
        </w:tc>
        <w:tc>
          <w:tcPr>
            <w:tcW w:type="dxa" w:w="1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9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İşyerine çağrılan günlerde yol</w:t>
            </w:r>
          </w:p>
        </w:tc>
        <w:tc>
          <w:tcPr>
            <w:tcW w:type="dxa" w:w="39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Belge karşılığı  ☐ Şirket uygulaması</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[Limit]</w:t>
            </w:r>
            <w:r>
              <w:rPr>
                <w:rFonts w:ascii="Calibri" w:cs="Calibri" w:eastAsia="Calibri" w:hAnsi="Calibri"/>
                <w:color w:val="3A4A61"/>
                <w:sz w:val="19"/>
                <w:szCs w:val="19"/>
              </w:rPr>
              <w:t xml:space="preserve"> TL</w:t>
            </w:r>
          </w:p>
        </w:tc>
        <w:tc>
          <w:tcPr>
            <w:tcW w:type="dxa" w:w="183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Masraf destekleri için belge ve başvuru usulü şirketin masraf yönetimi prosedürüne tabidir. Sabit ödemelerin vergi ve SGK karşısındaki niteliği bordro sorumlusu / mali müşavir tarafından belirlenir.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Bilgi Güvenliği ve Kişisel Verilerin Korunması</w:t>
      </w:r>
    </w:p>
    <w:p>
      <w:pPr>
        <w:pStyle w:val="ListParagraph"/>
        <w:numPr>
          <w:ilvl w:val="0"/>
          <w:numId w:val="2"/>
        </w:numPr>
        <w:spacing w:after="80" w:line="290"/>
      </w:pPr>
      <w:r>
        <w:rPr>
          <w:rFonts w:ascii="Calibri" w:cs="Calibri" w:eastAsia="Calibri" w:hAnsi="Calibri"/>
          <w:color w:val="3A4A61"/>
          <w:sz w:val="21"/>
          <w:szCs w:val="21"/>
        </w:rPr>
        <w:t xml:space="preserve">Şirket sistemlerine yalnızca İşveren'in sağladığı güvenli bağlantı (VPN vb.) ve çok faktörlü doğrulama ile erişilir; ortak veya halka açık ağlarda VPN olmadan çalışılmaz.</w:t>
      </w:r>
    </w:p>
    <w:p>
      <w:pPr>
        <w:pStyle w:val="ListParagraph"/>
        <w:numPr>
          <w:ilvl w:val="0"/>
          <w:numId w:val="2"/>
        </w:numPr>
        <w:spacing w:after="80" w:line="290"/>
      </w:pPr>
      <w:r>
        <w:rPr>
          <w:rFonts w:ascii="Calibri" w:cs="Calibri" w:eastAsia="Calibri" w:hAnsi="Calibri"/>
          <w:color w:val="3A4A61"/>
          <w:sz w:val="21"/>
          <w:szCs w:val="21"/>
        </w:rPr>
        <w:t xml:space="preserve">Ekran kilidi kullanılır; cihaz başından ayrılırken oturum kilitlenir. Şifreler kimseyle paylaşılmaz.</w:t>
      </w:r>
    </w:p>
    <w:p>
      <w:pPr>
        <w:pStyle w:val="ListParagraph"/>
        <w:numPr>
          <w:ilvl w:val="0"/>
          <w:numId w:val="2"/>
        </w:numPr>
        <w:spacing w:after="80" w:line="290"/>
      </w:pPr>
      <w:r>
        <w:rPr>
          <w:rFonts w:ascii="Calibri" w:cs="Calibri" w:eastAsia="Calibri" w:hAnsi="Calibri"/>
          <w:color w:val="3A4A61"/>
          <w:sz w:val="21"/>
          <w:szCs w:val="21"/>
        </w:rPr>
        <w:t xml:space="preserve">Şirket verileri kişisel e-posta, kişisel bulut hesabı veya taşınabilir belleklere aktarılmaz; basılı belge zorunlu değilse çıktı alınmaz, alınan çıktılar güvenli şekilde imha edilir.</w:t>
      </w:r>
    </w:p>
    <w:p>
      <w:pPr>
        <w:pStyle w:val="ListParagraph"/>
        <w:numPr>
          <w:ilvl w:val="0"/>
          <w:numId w:val="2"/>
        </w:numPr>
        <w:spacing w:after="80" w:line="290"/>
      </w:pPr>
      <w:r>
        <w:rPr>
          <w:rFonts w:ascii="Calibri" w:cs="Calibri" w:eastAsia="Calibri" w:hAnsi="Calibri"/>
          <w:color w:val="3A4A61"/>
          <w:sz w:val="21"/>
          <w:szCs w:val="21"/>
        </w:rPr>
        <w:t xml:space="preserve">Gizli görüşmeler başkalarının duyamayacağı ortamda yapılır; ekran üçüncü kişilerin göremeyeceği şekilde konumlandırılır.</w:t>
      </w:r>
    </w:p>
    <w:p>
      <w:pPr>
        <w:pStyle w:val="ListParagraph"/>
        <w:numPr>
          <w:ilvl w:val="0"/>
          <w:numId w:val="2"/>
        </w:numPr>
        <w:spacing w:after="80" w:line="290"/>
      </w:pPr>
      <w:r>
        <w:rPr>
          <w:rFonts w:ascii="Calibri" w:cs="Calibri" w:eastAsia="Calibri" w:hAnsi="Calibri"/>
          <w:color w:val="3A4A61"/>
          <w:sz w:val="21"/>
          <w:szCs w:val="21"/>
        </w:rPr>
        <w:t xml:space="preserve">Kişisel veri ihlali şüphesi (cihaz kaybı, yanlış alıcıya gönderim, şüpheli bağlantı vb.) gecikmeksizin </w:t>
      </w:r>
      <w:r>
        <w:rPr>
          <w:rFonts w:ascii="Calibri" w:cs="Calibri" w:eastAsia="Calibri" w:hAnsi="Calibri"/>
          <w:color w:val="1D5888"/>
          <w:sz w:val="21"/>
          <w:szCs w:val="21"/>
          <w:shd w:fill="EAF1F8" w:color="auto" w:val="clear"/>
        </w:rPr>
        <w:t xml:space="preserve">[Bilgi Güvenliği / KVKK sorumlusu]</w:t>
      </w:r>
      <w:r>
        <w:rPr>
          <w:rFonts w:ascii="Calibri" w:cs="Calibri" w:eastAsia="Calibri" w:hAnsi="Calibri"/>
          <w:color w:val="3A4A61"/>
          <w:sz w:val="21"/>
          <w:szCs w:val="21"/>
        </w:rPr>
        <w:t xml:space="preserve"> birimine bildirilir.</w:t>
      </w:r>
    </w:p>
    <w:p>
      <w:pPr>
        <w:pStyle w:val="ListParagraph"/>
        <w:numPr>
          <w:ilvl w:val="0"/>
          <w:numId w:val="2"/>
        </w:numPr>
        <w:spacing w:after="80" w:line="290"/>
      </w:pPr>
      <w:r>
        <w:rPr>
          <w:rFonts w:ascii="Calibri" w:cs="Calibri" w:eastAsia="Calibri" w:hAnsi="Calibri"/>
          <w:color w:val="3A4A61"/>
          <w:sz w:val="21"/>
          <w:szCs w:val="21"/>
        </w:rPr>
        <w:t xml:space="preserve">İşveren, bilgi güvenliği amacıyla şirket cihazları ve sistemleri üzerinde aydınlatma metninde belirtilen ölçüde kayıt ve denetim yapabilir; Çalışan bu konuda bilgilendirilmiştir.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İş Sağlığı ve Güvenliği</w:t>
      </w:r>
    </w:p>
    <w:p>
      <w:pPr>
        <w:spacing w:after="120" w:before="0" w:line="300"/>
        <w:jc w:val="both"/>
      </w:pPr>
      <w:r>
        <w:rPr>
          <w:rFonts w:ascii="Calibri" w:cs="Calibri" w:eastAsia="Calibri" w:hAnsi="Calibri"/>
          <w:color w:val="3A4A61"/>
          <w:sz w:val="21"/>
          <w:szCs w:val="21"/>
        </w:rPr>
        <w:t xml:space="preserve">İşveren, uzaktan çalışmaya ilişkin iş sağlığı ve güvenliği önlemleri hakkında Çalışan'ı bilgilendirir, gerekli eğitimi verir ve sağladığı ekipmanla ilgili güvenlik tedbirlerini alır. Çalışan, eğitimde verilen ergonomi ve elektrik güvenliği kurallarına uyar. Eğitim tarihi: </w:t>
      </w:r>
      <w:r>
        <w:rPr>
          <w:rFonts w:ascii="Calibri" w:cs="Calibri" w:eastAsia="Calibri" w:hAnsi="Calibri"/>
          <w:color w:val="1D5888"/>
          <w:sz w:val="21"/>
          <w:szCs w:val="21"/>
          <w:shd w:fill="EAF1F8" w:color="auto" w:val="clear"/>
        </w:rPr>
        <w:t xml:space="preserve">[GG.AA.YYYY]</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İade ve Protokolün Sona Ermesi</w:t>
      </w:r>
    </w:p>
    <w:p>
      <w:pPr>
        <w:pStyle w:val="ListParagraph"/>
        <w:numPr>
          <w:ilvl w:val="0"/>
          <w:numId w:val="2"/>
        </w:numPr>
        <w:spacing w:after="80" w:line="290"/>
      </w:pPr>
      <w:r>
        <w:rPr>
          <w:rFonts w:ascii="Calibri" w:cs="Calibri" w:eastAsia="Calibri" w:hAnsi="Calibri"/>
          <w:color w:val="3A4A61"/>
          <w:sz w:val="21"/>
          <w:szCs w:val="21"/>
        </w:rPr>
        <w:t xml:space="preserve">Uzaktan çalışmanın sona ermesi, iş sözleşmesinin herhangi bir nedenle sona ermesi veya İşveren'in talebi hâlinde ekipman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iş günü içinde eksiksiz ve çalışır durumda iade edilir.</w:t>
      </w:r>
    </w:p>
    <w:p>
      <w:pPr>
        <w:pStyle w:val="ListParagraph"/>
        <w:numPr>
          <w:ilvl w:val="0"/>
          <w:numId w:val="2"/>
        </w:numPr>
        <w:spacing w:after="80" w:line="290"/>
      </w:pPr>
      <w:r>
        <w:rPr>
          <w:rFonts w:ascii="Calibri" w:cs="Calibri" w:eastAsia="Calibri" w:hAnsi="Calibri"/>
          <w:color w:val="3A4A61"/>
          <w:sz w:val="21"/>
          <w:szCs w:val="21"/>
        </w:rPr>
        <w:t xml:space="preserve">İade, İşveren adresine elden veya İşveren'in karşıladığı kargo ile yapılır; iade tutanağı düzenlenir.</w:t>
      </w:r>
    </w:p>
    <w:p>
      <w:pPr>
        <w:pStyle w:val="ListParagraph"/>
        <w:numPr>
          <w:ilvl w:val="0"/>
          <w:numId w:val="2"/>
        </w:numPr>
        <w:spacing w:after="80" w:line="290"/>
      </w:pPr>
      <w:r>
        <w:rPr>
          <w:rFonts w:ascii="Calibri" w:cs="Calibri" w:eastAsia="Calibri" w:hAnsi="Calibri"/>
          <w:color w:val="3A4A61"/>
          <w:sz w:val="21"/>
          <w:szCs w:val="21"/>
        </w:rPr>
        <w:t xml:space="preserve">İade öncesinde cihazdaki şirket verileri silinmez; veri temizliği Bilgi İşlem tarafından yapılır.</w:t>
      </w:r>
    </w:p>
    <w:p>
      <w:pPr>
        <w:spacing w:after="120" w:before="0" w:line="300"/>
        <w:jc w:val="both"/>
      </w:pPr>
      <w:r>
        <w:rPr>
          <w:rFonts w:ascii="Calibri" w:cs="Calibri" w:eastAsia="Calibri" w:hAnsi="Calibri"/>
          <w:color w:val="3A4A61"/>
          <w:sz w:val="21"/>
          <w:szCs w:val="21"/>
        </w:rPr>
        <w:t xml:space="preserve">Bu protokol iki nüsha olarak düzenlenmiş, bir nüshası Çalışan'a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Ekipman İade Tutanağı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63"/>
        <w:gridCol w:w="1966"/>
        <w:gridCol w:w="1376"/>
        <w:gridCol w:w="1573"/>
        <w:gridCol w:w="2560"/>
      </w:tblGrid>
      <w:tr>
        <w:trPr>
          <w:cantSplit/>
          <w:trHeight w:val="400" w:hRule="atLeast"/>
        </w:trPr>
        <w:tc>
          <w:tcPr>
            <w:tcW w:type="dxa" w:w="21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Ekipman</w:t>
            </w:r>
          </w:p>
        </w:tc>
        <w:tc>
          <w:tcPr>
            <w:tcW w:type="dxa" w:w="19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Seri / Demirbaş No</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İade Tarihi</w:t>
            </w:r>
          </w:p>
        </w:tc>
        <w:tc>
          <w:tcPr>
            <w:tcW w:type="dxa" w:w="157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Durumu</w:t>
            </w:r>
          </w:p>
        </w:tc>
        <w:tc>
          <w:tcPr>
            <w:tcW w:type="dxa" w:w="256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Eksik / Hasar Notu</w:t>
            </w:r>
          </w:p>
        </w:tc>
      </w:tr>
      <w:tr>
        <w:trPr>
          <w:cantSplit/>
          <w:trHeight w:val="380" w:hRule="atLeast"/>
        </w:trPr>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573"/>
            <w:tcMar>
              <w:top w:type="dxa" w:w="60"/>
              <w:left w:type="dxa" w:w="110"/>
              <w:bottom w:type="dxa" w:w="60"/>
              <w:right w:type="dxa" w:w="110"/>
            </w:tcMar>
            <w:vAlign w:val="center"/>
          </w:tcPr>
          <w:p>
            <w:pPr>
              <w:spacing w:before="40" w:after="40"/>
            </w:pPr>
          </w:p>
        </w:tc>
        <w:tc>
          <w:tcPr>
            <w:tcW w:type="dxa" w:w="2560"/>
            <w:tcMar>
              <w:top w:type="dxa" w:w="60"/>
              <w:left w:type="dxa" w:w="110"/>
              <w:bottom w:type="dxa" w:w="60"/>
              <w:right w:type="dxa" w:w="110"/>
            </w:tcMar>
            <w:vAlign w:val="center"/>
          </w:tcPr>
          <w:p>
            <w:pPr>
              <w:spacing w:before="40" w:after="40"/>
            </w:pPr>
          </w:p>
        </w:tc>
      </w:tr>
      <w:tr>
        <w:trPr>
          <w:cantSplit/>
          <w:trHeight w:val="380" w:hRule="atLeast"/>
        </w:trPr>
        <w:tc>
          <w:tcPr>
            <w:tcW w:type="dxa" w:w="2163"/>
            <w:shd w:fill="F5F8FB" w:color="auto" w:val="clear"/>
            <w:tcMar>
              <w:top w:type="dxa" w:w="60"/>
              <w:left w:type="dxa" w:w="110"/>
              <w:bottom w:type="dxa" w:w="60"/>
              <w:right w:type="dxa" w:w="110"/>
            </w:tcMar>
            <w:vAlign w:val="center"/>
          </w:tcPr>
          <w:p>
            <w:pPr>
              <w:spacing w:before="40" w:after="40"/>
            </w:pPr>
          </w:p>
        </w:tc>
        <w:tc>
          <w:tcPr>
            <w:tcW w:type="dxa" w:w="196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573"/>
            <w:shd w:fill="F5F8FB" w:color="auto" w:val="clear"/>
            <w:tcMar>
              <w:top w:type="dxa" w:w="60"/>
              <w:left w:type="dxa" w:w="110"/>
              <w:bottom w:type="dxa" w:w="60"/>
              <w:right w:type="dxa" w:w="110"/>
            </w:tcMar>
            <w:vAlign w:val="center"/>
          </w:tcPr>
          <w:p>
            <w:pPr>
              <w:spacing w:before="40" w:after="40"/>
            </w:pPr>
          </w:p>
        </w:tc>
        <w:tc>
          <w:tcPr>
            <w:tcW w:type="dxa" w:w="256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573"/>
            <w:tcMar>
              <w:top w:type="dxa" w:w="60"/>
              <w:left w:type="dxa" w:w="110"/>
              <w:bottom w:type="dxa" w:w="60"/>
              <w:right w:type="dxa" w:w="110"/>
            </w:tcMar>
            <w:vAlign w:val="center"/>
          </w:tcPr>
          <w:p>
            <w:pPr>
              <w:spacing w:before="40" w:after="40"/>
            </w:pPr>
          </w:p>
        </w:tc>
        <w:tc>
          <w:tcPr>
            <w:tcW w:type="dxa" w:w="2560"/>
            <w:tcMar>
              <w:top w:type="dxa" w:w="60"/>
              <w:left w:type="dxa" w:w="110"/>
              <w:bottom w:type="dxa" w:w="60"/>
              <w:right w:type="dxa" w:w="110"/>
            </w:tcMar>
            <w:vAlign w:val="center"/>
          </w:tcPr>
          <w:p>
            <w:pPr>
              <w:spacing w:before="40" w:after="40"/>
            </w:pPr>
          </w:p>
        </w:tc>
      </w:tr>
      <w:tr>
        <w:trPr>
          <w:cantSplit/>
          <w:trHeight w:val="380" w:hRule="atLeast"/>
        </w:trPr>
        <w:tc>
          <w:tcPr>
            <w:tcW w:type="dxa" w:w="2163"/>
            <w:shd w:fill="F5F8FB" w:color="auto" w:val="clear"/>
            <w:tcMar>
              <w:top w:type="dxa" w:w="60"/>
              <w:left w:type="dxa" w:w="110"/>
              <w:bottom w:type="dxa" w:w="60"/>
              <w:right w:type="dxa" w:w="110"/>
            </w:tcMar>
            <w:vAlign w:val="center"/>
          </w:tcPr>
          <w:p>
            <w:pPr>
              <w:spacing w:before="40" w:after="40"/>
            </w:pPr>
          </w:p>
        </w:tc>
        <w:tc>
          <w:tcPr>
            <w:tcW w:type="dxa" w:w="196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573"/>
            <w:shd w:fill="F5F8FB" w:color="auto" w:val="clear"/>
            <w:tcMar>
              <w:top w:type="dxa" w:w="60"/>
              <w:left w:type="dxa" w:w="110"/>
              <w:bottom w:type="dxa" w:w="60"/>
              <w:right w:type="dxa" w:w="110"/>
            </w:tcMar>
            <w:vAlign w:val="center"/>
          </w:tcPr>
          <w:p>
            <w:pPr>
              <w:spacing w:before="40" w:after="40"/>
            </w:pPr>
          </w:p>
        </w:tc>
        <w:tc>
          <w:tcPr>
            <w:tcW w:type="dxa" w:w="256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573"/>
            <w:tcMar>
              <w:top w:type="dxa" w:w="60"/>
              <w:left w:type="dxa" w:w="110"/>
              <w:bottom w:type="dxa" w:w="60"/>
              <w:right w:type="dxa" w:w="110"/>
            </w:tcMar>
            <w:vAlign w:val="center"/>
          </w:tcPr>
          <w:p>
            <w:pPr>
              <w:spacing w:before="40" w:after="40"/>
            </w:pPr>
          </w:p>
        </w:tc>
        <w:tc>
          <w:tcPr>
            <w:tcW w:type="dxa" w:w="2560"/>
            <w:tcMar>
              <w:top w:type="dxa" w:w="60"/>
              <w:left w:type="dxa" w:w="110"/>
              <w:bottom w:type="dxa" w:w="60"/>
              <w:right w:type="dxa" w:w="110"/>
            </w:tcMar>
            <w:vAlign w:val="center"/>
          </w:tcPr>
          <w:p>
            <w:pPr>
              <w:spacing w:before="40" w:after="40"/>
            </w:pPr>
          </w:p>
        </w:tc>
      </w:tr>
      <w:tr>
        <w:trPr>
          <w:cantSplit/>
          <w:trHeight w:val="380" w:hRule="atLeast"/>
        </w:trPr>
        <w:tc>
          <w:tcPr>
            <w:tcW w:type="dxa" w:w="2163"/>
            <w:shd w:fill="F5F8FB" w:color="auto" w:val="clear"/>
            <w:tcMar>
              <w:top w:type="dxa" w:w="60"/>
              <w:left w:type="dxa" w:w="110"/>
              <w:bottom w:type="dxa" w:w="60"/>
              <w:right w:type="dxa" w:w="110"/>
            </w:tcMar>
            <w:vAlign w:val="center"/>
          </w:tcPr>
          <w:p>
            <w:pPr>
              <w:spacing w:before="40" w:after="40"/>
            </w:pPr>
          </w:p>
        </w:tc>
        <w:tc>
          <w:tcPr>
            <w:tcW w:type="dxa" w:w="196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573"/>
            <w:shd w:fill="F5F8FB" w:color="auto" w:val="clear"/>
            <w:tcMar>
              <w:top w:type="dxa" w:w="60"/>
              <w:left w:type="dxa" w:w="110"/>
              <w:bottom w:type="dxa" w:w="60"/>
              <w:right w:type="dxa" w:w="110"/>
            </w:tcMar>
            <w:vAlign w:val="center"/>
          </w:tcPr>
          <w:p>
            <w:pPr>
              <w:spacing w:before="40" w:after="40"/>
            </w:pPr>
          </w:p>
        </w:tc>
        <w:tc>
          <w:tcPr>
            <w:tcW w:type="dxa" w:w="256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ekipman eksiksiz ve çalışır durumda teslim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 / hasarlı ekipman var; tutanak düzenlendi ve süreç İK'ya iletildi.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Sistem erişimleri kapatıldı, cihaz verileri Bilgi İşlem tarafından temizlendi.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(Bilgi İşlem /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Dayanak</w:t>
            </w:r>
          </w:p>
          <w:p>
            <w:pPr>
              <w:spacing w:after="20" w:line="280"/>
            </w:pPr>
            <w:r>
              <w:rPr>
                <w:rFonts w:ascii="Calibri" w:cs="Calibri" w:eastAsia="Calibri" w:hAnsi="Calibri"/>
                <w:color w:val="3A4A61"/>
                <w:sz w:val="19"/>
                <w:szCs w:val="19"/>
              </w:rPr>
              <w:t xml:space="preserve">4857 sayılı İş Kanunu md. 14'e göre uzaktan çalışma sözleşmesinde işveren tarafından sağlanan ekipman ve bunların korunmasına ilişkin yükümlülükler yer alır; işveren sağladığı ekipmanla ilgili iş güvenliği tedbirlerini almakla yükümlüdür. 6098 sayılı Türk Borçlar Kanunu md. 413'e göre aksine anlaşma yoksa gerekli araç ve malzemeyi işveren sağlar; çalışan kendi aracını özgülerse uygun bir karşılık ödenir. Md. 414 işin gerektirdiği giderleri işverene yükler. 6698 sayılı KVKK md. 12 veri güvenliği için gerekli teknik ve idari tedbirleri almayı zorunlu kılar.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[İK-UZ-02]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Uzaktan Çalışma Ekipman, Masraf ve Veri Güvenliği Protokolü</dc:title>
  <dc:creator>İK Partner</dc:creator>
  <dc:description>Uzaktan Çalışma Ekipman, Masraf ve Veri Güvenliği Protokolü — İK Partner (ikpartner.com) ücretsiz İK şablonu</dc:description>
  <cp:lastModifiedBy>Un-named</cp:lastModifiedBy>
  <cp:revision>1</cp:revision>
  <dcterms:created xsi:type="dcterms:W3CDTF">2026-10-13T21:27:19.520Z</dcterms:created>
  <dcterms:modified xsi:type="dcterms:W3CDTF">2026-10-13T21:27:19.522Z</dcterms:modified>
</cp:coreProperties>
</file>

<file path=docProps/custom.xml><?xml version="1.0" encoding="utf-8"?>
<Properties xmlns="http://schemas.openxmlformats.org/officeDocument/2006/custom-properties" xmlns:vt="http://schemas.openxmlformats.org/officeDocument/2006/docPropsVTypes"/>
</file>