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Ücret Kesme Cezası Uygulama Tutanağı ve Bildirim Yazısı</w:t>
      </w:r>
    </w:p>
    <w:p>
      <w:pPr>
        <w:pBdr>
          <w:bottom w:val="single" w:color="13B8A7" w:sz="12" w:space="8"/>
        </w:pBdr>
        <w:spacing w:after="220"/>
      </w:pPr>
      <w:r>
        <w:rPr>
          <w:rFonts w:ascii="Calibri" w:cs="Calibri" w:eastAsia="Calibri" w:hAnsi="Calibri"/>
          <w:color w:val="5A6B82"/>
          <w:sz w:val="21"/>
          <w:szCs w:val="21"/>
        </w:rPr>
        <w:t xml:space="preserve">4857 sayılı İş Kanunu md. 38'e uygun ücret kesme cezası: dayanak, savunma, iki gündelik sınır kontrolü, çalışana bildirim ve ceza parasının yatırılması.</w:t>
      </w:r>
    </w:p>
    <w:p>
      <w:pPr>
        <w:keepNext/>
        <w:pBdr>
          <w:bottom w:val="single" w:color="DCE4EE" w:sz="6" w:space="4"/>
        </w:pBdr>
        <w:spacing w:before="280" w:after="120"/>
      </w:pPr>
      <w:r>
        <w:rPr>
          <w:rFonts w:ascii="Calibri" w:cs="Calibri" w:eastAsia="Calibri" w:hAnsi="Calibri"/>
          <w:b/>
          <w:bCs/>
          <w:color w:val="0E2849"/>
          <w:sz w:val="25"/>
          <w:szCs w:val="25"/>
        </w:rPr>
        <w:t xml:space="preserve">1. İşyeri ve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Türü (aylık / günlük / parça başı)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Brüt Aylık Ücret</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Ceza Dayanağı</w:t>
      </w:r>
    </w:p>
    <w:p>
      <w:pPr>
        <w:spacing w:after="120" w:before="0" w:line="300"/>
        <w:jc w:val="both"/>
      </w:pPr>
      <w:r>
        <w:rPr>
          <w:rFonts w:ascii="Calibri" w:cs="Calibri" w:eastAsia="Calibri" w:hAnsi="Calibri"/>
          <w:color w:val="3A4A61"/>
          <w:sz w:val="21"/>
          <w:szCs w:val="21"/>
        </w:rPr>
        <w:t xml:space="preserve">Ücret kesme cezası yalnızca toplu iş sözleşmesinde veya iş sözleşmesinde (ya da sözleşmenin eki olarak imzalanmış disiplin yönetmeliğinde) gösterilmiş sebeplerle verilebilir. Dayanak hükmü aşağıya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96"/>
        <w:gridCol w:w="1204"/>
        <w:gridCol w:w="4338"/>
      </w:tblGrid>
      <w:tr>
        <w:trPr>
          <w:cantSplit/>
          <w:trHeight w:val="400" w:hRule="atLeast"/>
        </w:trPr>
        <w:tc>
          <w:tcPr>
            <w:tcW w:type="dxa" w:w="40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Madde No</w:t>
            </w:r>
          </w:p>
        </w:tc>
        <w:tc>
          <w:tcPr>
            <w:tcW w:type="dxa" w:w="433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Hükmün Özeti</w:t>
            </w:r>
          </w:p>
        </w:tc>
      </w:tr>
      <w:tr>
        <w:trPr>
          <w:cantSplit/>
          <w:trHeight w:val="380" w:hRule="atLeast"/>
        </w:trPr>
        <w:tc>
          <w:tcPr>
            <w:tcW w:type="dxa" w:w="40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İş sözleşmesi  ☐ Toplu iş sözleşmesi  ☐ Disiplin yönetmeliği (imzalı)</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433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[Ceza gerektiren davranış ve öngörülen yaptırım]</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Olay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 Yeri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Olayı Tespit Eden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Tanıklar</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Varsa Olay Tutanağının Tarihi</w:t>
            </w:r>
          </w:p>
        </w:tc>
        <w:tc>
          <w:tcPr>
            <w:tcW w:type="dxa" w:w="2698"/>
            <w:tcMar>
              <w:top w:type="dxa" w:w="60"/>
              <w:left w:type="dxa" w:w="110"/>
              <w:bottom w:type="dxa" w:w="60"/>
              <w:right w:type="dxa" w:w="110"/>
            </w:tcMar>
            <w:vAlign w:val="center"/>
          </w:tcPr>
          <w:p>
            <w:pPr>
              <w:spacing w:before="40" w:after="40"/>
            </w:pPr>
          </w:p>
        </w:tc>
        <w:tc>
          <w:tcPr>
            <w:tcW w:type="dxa" w:w="2120"/>
            <w:tcMar>
              <w:top w:type="dxa" w:w="60"/>
              <w:left w:type="dxa" w:w="110"/>
              <w:bottom w:type="dxa" w:w="60"/>
              <w:right w:type="dxa" w:w="110"/>
            </w:tcMar>
            <w:vAlign w:val="center"/>
          </w:tcPr>
          <w:p>
            <w:pPr>
              <w:spacing w:before="40" w:after="40"/>
            </w:pP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Olayın açıklaması (kim, ne, nerede, nasıl; yorum katmadan)</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Savunma Süreci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37"/>
        <w:gridCol w:w="2168"/>
        <w:gridCol w:w="3133"/>
      </w:tblGrid>
      <w:tr>
        <w:trPr>
          <w:cantSplit/>
          <w:trHeight w:val="400" w:hRule="atLeast"/>
        </w:trPr>
        <w:tc>
          <w:tcPr>
            <w:tcW w:type="dxa" w:w="43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21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1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istem yazısı tebliğ edildi</w:t>
            </w:r>
          </w:p>
        </w:tc>
        <w:tc>
          <w:tcPr>
            <w:tcW w:type="dxa" w:w="216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[Tebliğ şekli]</w:t>
            </w:r>
          </w:p>
        </w:tc>
      </w:tr>
      <w:tr>
        <w:trPr>
          <w:cantSplit/>
          <w:trHeight w:val="380" w:hRule="atLeast"/>
        </w:trPr>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için verilen süre</w:t>
            </w:r>
          </w:p>
        </w:tc>
        <w:tc>
          <w:tcPr>
            <w:tcW w:type="dxa" w:w="21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31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 gün]</w:t>
            </w:r>
          </w:p>
        </w:tc>
      </w:tr>
      <w:tr>
        <w:trPr>
          <w:cantSplit/>
          <w:trHeight w:val="380" w:hRule="atLeast"/>
        </w:trPr>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alındı</w:t>
            </w:r>
          </w:p>
        </w:tc>
        <w:tc>
          <w:tcPr>
            <w:tcW w:type="dxa" w:w="216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Yazılı  ☐ Tutanağa geçirilen sözlü</w:t>
            </w:r>
          </w:p>
        </w:tc>
      </w:tr>
      <w:tr>
        <w:trPr>
          <w:cantSplit/>
          <w:trHeight w:val="380" w:hRule="atLeast"/>
        </w:trPr>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vermekten kaçınıldı</w:t>
            </w:r>
          </w:p>
        </w:tc>
        <w:tc>
          <w:tcPr>
            <w:tcW w:type="dxa" w:w="21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Tutanak düzenlendi</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Savunmanın özeti ve değerlendirmesi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Ceza Kararı ve Sınır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541"/>
        <w:gridCol w:w="4097"/>
      </w:tblGrid>
      <w:tr>
        <w:trPr>
          <w:cantSplit/>
          <w:trHeight w:val="400" w:hRule="atLeast"/>
        </w:trPr>
        <w:tc>
          <w:tcPr>
            <w:tcW w:type="dxa" w:w="55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409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w:t>
            </w:r>
          </w:p>
        </w:tc>
      </w:tr>
      <w:tr>
        <w:trPr>
          <w:cantSplit/>
          <w:trHeight w:val="380" w:hRule="atLeast"/>
        </w:trPr>
        <w:tc>
          <w:tcPr>
            <w:tcW w:type="dxa" w:w="55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Günlük brüt ücret (aylık ücret / 30)</w:t>
            </w:r>
          </w:p>
        </w:tc>
        <w:tc>
          <w:tcPr>
            <w:tcW w:type="dxa" w:w="40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5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olay için verilen ceza</w:t>
            </w:r>
          </w:p>
        </w:tc>
        <w:tc>
          <w:tcPr>
            <w:tcW w:type="dxa" w:w="40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günlük ücret =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5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ay içinde daha önce kesilen ücret kesme cezaları</w:t>
            </w:r>
          </w:p>
        </w:tc>
        <w:tc>
          <w:tcPr>
            <w:tcW w:type="dxa" w:w="40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5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ay toplam ceza kesintisi</w:t>
            </w:r>
          </w:p>
        </w:tc>
        <w:tc>
          <w:tcPr>
            <w:tcW w:type="dxa" w:w="40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5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yasal üst sınır (iki gündelik / iki günlük kazanç)</w:t>
            </w:r>
          </w:p>
        </w:tc>
        <w:tc>
          <w:tcPr>
            <w:tcW w:type="dxa" w:w="40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5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Sınır aşılıyor mu?</w:t>
            </w:r>
          </w:p>
        </w:tc>
        <w:tc>
          <w:tcPr>
            <w:tcW w:type="dxa" w:w="40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 → kesinti sınıra indirildi</w:t>
            </w:r>
          </w:p>
        </w:tc>
      </w:tr>
      <w:tr>
        <w:trPr>
          <w:cantSplit/>
          <w:trHeight w:val="380" w:hRule="atLeast"/>
        </w:trPr>
        <w:tc>
          <w:tcPr>
            <w:tcW w:type="dxa" w:w="55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Kesintinin yapılacağı bordro dönemi</w:t>
            </w:r>
          </w:p>
        </w:tc>
        <w:tc>
          <w:tcPr>
            <w:tcW w:type="dxa" w:w="40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Dayanak hüküm, olay ve verilen ceza birbiriyle uyumludur.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 davranışın ağırlığıyla orantılıdır; aynı olay için başka bir disiplin cezası verilmemiştir.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Kesinti, ücretin işlenmemiş (çalışılmayan) süre karşılığı değil, ceza niteliğindedir.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Kararı Veren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6. Çalışana Bildirim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[Olay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[olayın kısa ve somut açıklaması]</w:t>
      </w:r>
      <w:r>
        <w:rPr>
          <w:rFonts w:ascii="Calibri" w:cs="Calibri" w:eastAsia="Calibri" w:hAnsi="Calibri"/>
          <w:color w:val="3A4A61"/>
          <w:sz w:val="21"/>
          <w:szCs w:val="21"/>
        </w:rPr>
        <w:t xml:space="preserve"> tespit edilmiştir. Bu davranış, </w:t>
      </w:r>
      <w:r>
        <w:rPr>
          <w:rFonts w:ascii="Calibri" w:cs="Calibri" w:eastAsia="Calibri" w:hAnsi="Calibri"/>
          <w:color w:val="1D5888"/>
          <w:sz w:val="21"/>
          <w:szCs w:val="21"/>
          <w:shd w:fill="EAF1F8" w:color="auto" w:val="clear"/>
        </w:rPr>
        <w:t xml:space="preserve">[iş sözleşmenizin / toplu iş sözleşmesinin / disiplin yönetmeliğinin]</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[__]. maddesinde</w:t>
      </w:r>
      <w:r>
        <w:rPr>
          <w:rFonts w:ascii="Calibri" w:cs="Calibri" w:eastAsia="Calibri" w:hAnsi="Calibri"/>
          <w:color w:val="3A4A61"/>
          <w:sz w:val="21"/>
          <w:szCs w:val="21"/>
        </w:rPr>
        <w:t xml:space="preserve"> ücret kesme cezası gerektiren haller arasında sayılmıştır.</w:t>
      </w:r>
    </w:p>
    <w:p>
      <w:pPr>
        <w:spacing w:after="120" w:before="0" w:line="300"/>
        <w:jc w:val="both"/>
      </w:pPr>
      <w:r>
        <w:rPr>
          <w:rFonts w:ascii="Calibri" w:cs="Calibri" w:eastAsia="Calibri" w:hAnsi="Calibri"/>
          <w:color w:val="1D5888"/>
          <w:sz w:val="21"/>
          <w:szCs w:val="21"/>
          <w:shd w:fill="EAF1F8" w:color="auto" w:val="clear"/>
        </w:rPr>
        <w:t xml:space="preserve">[Savunma Tarihi]</w:t>
      </w:r>
      <w:r>
        <w:rPr>
          <w:rFonts w:ascii="Calibri" w:cs="Calibri" w:eastAsia="Calibri" w:hAnsi="Calibri"/>
          <w:color w:val="3A4A61"/>
          <w:sz w:val="21"/>
          <w:szCs w:val="21"/>
        </w:rPr>
        <w:t xml:space="preserve"> tarihli savunmanız incelenmiş, ancak </w:t>
      </w:r>
      <w:r>
        <w:rPr>
          <w:rFonts w:ascii="Calibri" w:cs="Calibri" w:eastAsia="Calibri" w:hAnsi="Calibri"/>
          <w:color w:val="1D5888"/>
          <w:sz w:val="21"/>
          <w:szCs w:val="21"/>
          <w:shd w:fill="EAF1F8" w:color="auto" w:val="clear"/>
        </w:rPr>
        <w:t xml:space="preserve">[savunmanın neden yeterli görülmediğinin kısa açıklaması]</w:t>
      </w:r>
      <w:r>
        <w:rPr>
          <w:rFonts w:ascii="Calibri" w:cs="Calibri" w:eastAsia="Calibri" w:hAnsi="Calibri"/>
          <w:color w:val="3A4A61"/>
          <w:sz w:val="21"/>
          <w:szCs w:val="21"/>
        </w:rPr>
        <w:t xml:space="preserve">. Bu nedenle, 4857 sayılı İş Kanunu'nun 38. maddesi uyarınca tarafınıza </w:t>
      </w:r>
      <w:r>
        <w:rPr>
          <w:rFonts w:ascii="Calibri" w:cs="Calibri" w:eastAsia="Calibri" w:hAnsi="Calibri"/>
          <w:b/>
          <w:bCs/>
          <w:color w:val="3A4A61"/>
          <w:sz w:val="21"/>
          <w:szCs w:val="21"/>
        </w:rPr>
        <w:t xml:space="preserve">[__] günlük ücret tutarında, [Tutar] TL</w:t>
      </w:r>
      <w:r>
        <w:rPr>
          <w:rFonts w:ascii="Calibri" w:cs="Calibri" w:eastAsia="Calibri" w:hAnsi="Calibri"/>
          <w:color w:val="3A4A61"/>
          <w:sz w:val="21"/>
          <w:szCs w:val="21"/>
        </w:rPr>
        <w:t xml:space="preserve"> ücret kesme cezası verilmesine karar verilmiştir. Kesinti </w:t>
      </w:r>
      <w:r>
        <w:rPr>
          <w:rFonts w:ascii="Calibri" w:cs="Calibri" w:eastAsia="Calibri" w:hAnsi="Calibri"/>
          <w:b/>
          <w:bCs/>
          <w:color w:val="3A4A61"/>
          <w:sz w:val="21"/>
          <w:szCs w:val="21"/>
        </w:rPr>
        <w:t xml:space="preserve">[Ay / Yıl]</w:t>
      </w:r>
      <w:r>
        <w:rPr>
          <w:rFonts w:ascii="Calibri" w:cs="Calibri" w:eastAsia="Calibri" w:hAnsi="Calibri"/>
          <w:color w:val="3A4A61"/>
          <w:sz w:val="21"/>
          <w:szCs w:val="21"/>
        </w:rPr>
        <w:t xml:space="preserve"> ücretinizden yapılacak ve ücret hesap pusulanızda ayrıca gösterilecektir.</w:t>
      </w:r>
    </w:p>
    <w:p>
      <w:pPr>
        <w:spacing w:after="120" w:before="0" w:line="300"/>
        <w:jc w:val="both"/>
      </w:pPr>
      <w:r>
        <w:rPr>
          <w:rFonts w:ascii="Calibri" w:cs="Calibri" w:eastAsia="Calibri" w:hAnsi="Calibri"/>
          <w:color w:val="3A4A61"/>
          <w:sz w:val="21"/>
          <w:szCs w:val="21"/>
        </w:rPr>
        <w:t xml:space="preserve">Kesilen tutar şirket bünyesinde gelir olarak kalmaz; mevzuat gereği çalışanların eğitimi ve sosyal hizmetlerinde kullanılmak üzere Bakanlıkça belirlenen hesaba yatırılır.</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Çalışan bildirimi imzalamaktan kaçınırsa: Bu yazı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çalışana okunmuş, imzadan kaçınmıştır.  Tanık 1: </w:t>
      </w:r>
      <w:r>
        <w:rPr>
          <w:rFonts w:ascii="Calibri" w:cs="Calibri" w:eastAsia="Calibri" w:hAnsi="Calibri"/>
          <w:color w:val="1D5888"/>
          <w:sz w:val="21"/>
          <w:szCs w:val="21"/>
          <w:shd w:fill="EAF1F8" w:color="auto" w:val="clear"/>
        </w:rPr>
        <w:t xml:space="preserve">[Ad Soyad / İmza]</w:t>
      </w:r>
      <w:r>
        <w:rPr>
          <w:rFonts w:ascii="Calibri" w:cs="Calibri" w:eastAsia="Calibri" w:hAnsi="Calibri"/>
          <w:color w:val="3A4A61"/>
          <w:sz w:val="21"/>
          <w:szCs w:val="21"/>
        </w:rPr>
        <w:t xml:space="preserve">   Tanık 2: </w:t>
      </w:r>
      <w:r>
        <w:rPr>
          <w:rFonts w:ascii="Calibri" w:cs="Calibri" w:eastAsia="Calibri" w:hAnsi="Calibri"/>
          <w:color w:val="1D5888"/>
          <w:sz w:val="21"/>
          <w:szCs w:val="21"/>
          <w:shd w:fill="EAF1F8" w:color="auto" w:val="clear"/>
        </w:rPr>
        <w:t xml:space="preserve">[Ad Soyad / İmza]</w:t>
      </w:r>
    </w:p>
    <w:p>
      <w:pPr>
        <w:keepNext/>
        <w:pBdr>
          <w:bottom w:val="single" w:color="DCE4EE" w:sz="6" w:space="4"/>
        </w:pBdr>
        <w:spacing w:before="280" w:after="120"/>
      </w:pPr>
      <w:r>
        <w:rPr>
          <w:rFonts w:ascii="Calibri" w:cs="Calibri" w:eastAsia="Calibri" w:hAnsi="Calibri"/>
          <w:b/>
          <w:bCs/>
          <w:color w:val="0E2849"/>
          <w:sz w:val="25"/>
          <w:szCs w:val="25"/>
        </w:rPr>
        <w:t xml:space="preserve">7. Ceza Parasının Yatırılması ve Kayıt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00"/>
        <w:gridCol w:w="1927"/>
        <w:gridCol w:w="2411"/>
      </w:tblGrid>
      <w:tr>
        <w:trPr>
          <w:cantSplit/>
          <w:trHeight w:val="400" w:hRule="atLeast"/>
        </w:trPr>
        <w:tc>
          <w:tcPr>
            <w:tcW w:type="dxa" w:w="530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Not</w:t>
            </w:r>
          </w:p>
        </w:tc>
      </w:tr>
      <w:tr>
        <w:trPr>
          <w:cantSplit/>
          <w:trHeight w:val="380" w:hRule="atLeast"/>
        </w:trPr>
        <w:tc>
          <w:tcPr>
            <w:tcW w:type="dxa" w:w="530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Kesintinin yapıldığı bordro</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no]</w:t>
            </w:r>
          </w:p>
        </w:tc>
      </w:tr>
      <w:tr>
        <w:trPr>
          <w:cantSplit/>
          <w:trHeight w:val="380" w:hRule="atLeast"/>
        </w:trPr>
        <w:tc>
          <w:tcPr>
            <w:tcW w:type="dxa" w:w="530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Bakanlık adına açılan hesaba yatırma (kesintiden itibaren en geç 1 ay)</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[Dekont no]</w:t>
            </w:r>
          </w:p>
        </w:tc>
      </w:tr>
      <w:tr>
        <w:trPr>
          <w:cantSplit/>
          <w:trHeight w:val="380" w:hRule="atLeast"/>
        </w:trPr>
        <w:tc>
          <w:tcPr>
            <w:tcW w:type="dxa" w:w="530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ceza paraları hesabına (ayrı kayıt) işlendi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[Kayıt sıra no]</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 sebebi iş sözleşmesinde / TİS'te / imzalı disiplin yönetmeliğinde açıkça yazılı.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Olay tutanağı olay günü veya hemen sonra, tanıklı düzenlendi.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yazılı olarak istendi ve makul süre verildi; savunma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ayki toplam ceza kesintisi iki gündeliği aşmıyor.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Çalışana sebebiyle birlikte derhal yazılı bildirim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Kesinti ücret hesap pusulasında ayrı kalem olarak gösterildi.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Kesilen tutar bir ay içinde ilgili hesaba yatırıldı; dekont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İşyerinde ceza paralarının ayrı hesabı tutuluyor.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belgeler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4857 sayılı İş Kanunu md. 38: İşveren, toplu sözleşme veya iş sözleşmelerinde gösterilmiş sebepler dışında ücret kesme cezası veremez; kesinti işçiye derhal sebepleriyle birlikte bildirilir; bir ayda iki gündelikten (parça başı veya iş miktarına göre ücretlerde iki günlük kazançtan) fazla olamaz; kesilen paralar kesildiği tarihten itibaren bir ay içinde Bakanlıkça belirtilen banka hesabına yatırılır ve işyerinde ayrı hesabı tutulur. Md. 38'e aykırı kesinti md. 104 uyarınca idari para cezası gerektirir. Kanun savunma alınmasını md. 38'de ayrıca düzenlemese de ispat ve adil süreç için önceden yazılı savunma alınması önerilir.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[İK-DS-05]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Kesme Cezası Uygulama Tutanağı ve Bildirim Yazısı</dc:title>
  <dc:creator>İK Partner</dc:creator>
  <dc:description>Ücret Kesme Cezası Uygulama Tutanağı ve Bildirim Yazısı — İK Partner (ikpartner.com) ücretsiz İK şablonu</dc:description>
  <cp:lastModifiedBy>Un-named</cp:lastModifiedBy>
  <cp:revision>1</cp:revision>
  <dcterms:created xsi:type="dcterms:W3CDTF">2026-10-13T21:26:13.011Z</dcterms:created>
  <dcterms:modified xsi:type="dcterms:W3CDTF">2026-10-13T21:26:13.011Z</dcterms:modified>
</cp:coreProperties>
</file>

<file path=docProps/custom.xml><?xml version="1.0" encoding="utf-8"?>
<Properties xmlns="http://schemas.openxmlformats.org/officeDocument/2006/custom-properties" xmlns:vt="http://schemas.openxmlformats.org/officeDocument/2006/docPropsVTypes"/>
</file>