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Ücret Hesap Pusulası (Bordro) Teslim Tutanağı</w:t>
      </w:r>
    </w:p>
    <w:p>
      <w:pPr>
        <w:pBdr>
          <w:bottom w:val="single" w:color="13B8A7" w:sz="12" w:space="8"/>
        </w:pBdr>
        <w:spacing w:after="220"/>
      </w:pPr>
      <w:r>
        <w:rPr>
          <w:rFonts w:ascii="Calibri" w:cs="Calibri" w:eastAsia="Calibri" w:hAnsi="Calibri"/>
          <w:color w:val="5A6B82"/>
          <w:sz w:val="21"/>
          <w:szCs w:val="21"/>
        </w:rPr>
        <w:t xml:space="preserve">Aylık ücret hesap pusulalarının çalışanlara elden veya elektronik ortamda teslimini kayda alan toplu tutanak; ekinde e-bordro onay beyanı, çalışan şerh alanı ve İK kontrol listesi.</w:t>
      </w:r>
    </w:p>
    <w:p>
      <w:pPr>
        <w:keepNext/>
        <w:pBdr>
          <w:bottom w:val="single" w:color="DCE4EE" w:sz="6" w:space="4"/>
        </w:pBdr>
        <w:spacing w:before="280" w:after="120"/>
      </w:pPr>
      <w:r>
        <w:rPr>
          <w:rFonts w:ascii="Calibri" w:cs="Calibri" w:eastAsia="Calibri" w:hAnsi="Calibri"/>
          <w:b/>
          <w:bCs/>
          <w:color w:val="0E2849"/>
          <w:sz w:val="25"/>
          <w:szCs w:val="25"/>
        </w:rPr>
        <w:t xml:space="preserve">1. Dönem ve İşyeri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Unvanı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Bordro Dönemi (Ay / Yıl)</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Ücret Ödeme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Teslimi Yapan (İK / Bordro)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Tutanak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Aşağıda adı yazılı çalışanlara, 4857 sayılı İş Kanunu'nun 37. maddesi uyarınca </w:t>
      </w:r>
      <w:r>
        <w:rPr>
          <w:rFonts w:ascii="Calibri" w:cs="Calibri" w:eastAsia="Calibri" w:hAnsi="Calibri"/>
          <w:color w:val="1D5888"/>
          <w:sz w:val="21"/>
          <w:szCs w:val="21"/>
          <w:shd w:fill="EAF1F8" w:color="auto" w:val="clear"/>
        </w:rPr>
        <w:t xml:space="preserve">[Bordro Dönemi]</w:t>
      </w:r>
      <w:r>
        <w:rPr>
          <w:rFonts w:ascii="Calibri" w:cs="Calibri" w:eastAsia="Calibri" w:hAnsi="Calibri"/>
          <w:color w:val="3A4A61"/>
          <w:sz w:val="21"/>
          <w:szCs w:val="21"/>
        </w:rPr>
        <w:t xml:space="preserve"> dönemine ait ücret hesap pusulası (bordro) belirtilen yöntemle teslim edilmiştir. Pusulada ödemenin günü ve ilişkin olduğu dönem, asıl ücrete yapılan eklemeler (fazla çalışma, hafta tatili, bayram ve genel tatil ücretleri vb.) ve kesintiler (vergi, sigorta primi, avans mahsubu, nafaka, icra vb.) ayrı ayrı gösterilmiştir.</w:t>
      </w:r>
    </w:p>
    <w:p>
      <w:pPr>
        <w:keepNext/>
        <w:pBdr>
          <w:bottom w:val="single" w:color="DCE4EE" w:sz="6" w:space="4"/>
        </w:pBdr>
        <w:spacing w:before="280" w:after="120"/>
      </w:pPr>
      <w:r>
        <w:rPr>
          <w:rFonts w:ascii="Calibri" w:cs="Calibri" w:eastAsia="Calibri" w:hAnsi="Calibri"/>
          <w:b/>
          <w:bCs/>
          <w:color w:val="0E2849"/>
          <w:sz w:val="25"/>
          <w:szCs w:val="25"/>
        </w:rPr>
        <w:t xml:space="preserve">2. Teslim Listesi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42"/>
        <w:gridCol w:w="2570"/>
        <w:gridCol w:w="1285"/>
        <w:gridCol w:w="1927"/>
        <w:gridCol w:w="1285"/>
        <w:gridCol w:w="1929"/>
      </w:tblGrid>
      <w:tr>
        <w:trPr>
          <w:cantSplit/>
          <w:trHeight w:val="400" w:hRule="atLeast"/>
        </w:trPr>
        <w:tc>
          <w:tcPr>
            <w:tcW w:type="dxa" w:w="64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Sıra</w:t>
            </w:r>
          </w:p>
        </w:tc>
        <w:tc>
          <w:tcPr>
            <w:tcW w:type="dxa" w:w="25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12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Sicil No</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Teslim Yöntemi (Elden / E-posta / E-bordro)</w:t>
            </w:r>
          </w:p>
        </w:tc>
        <w:tc>
          <w:tcPr>
            <w:tcW w:type="dxa" w:w="128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Teslim Tarihi</w:t>
            </w:r>
          </w:p>
        </w:tc>
        <w:tc>
          <w:tcPr>
            <w:tcW w:type="dxa" w:w="19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İmza / Erişim Kaydı</w:t>
            </w: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7</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8</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9</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10</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11</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12</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13</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14</w:t>
            </w:r>
          </w:p>
        </w:tc>
        <w:tc>
          <w:tcPr>
            <w:tcW w:type="dxa" w:w="2570"/>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285"/>
            <w:shd w:fill="F5F8FB" w:color="auto" w:val="clear"/>
            <w:tcMar>
              <w:top w:type="dxa" w:w="60"/>
              <w:left w:type="dxa" w:w="110"/>
              <w:bottom w:type="dxa" w:w="60"/>
              <w:right w:type="dxa" w:w="110"/>
            </w:tcMar>
            <w:vAlign w:val="center"/>
          </w:tcPr>
          <w:p>
            <w:pPr>
              <w:spacing w:before="40" w:after="40"/>
            </w:pP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15</w:t>
            </w:r>
          </w:p>
        </w:tc>
        <w:tc>
          <w:tcPr>
            <w:tcW w:type="dxa" w:w="2570"/>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285"/>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Elektronik teslimde "İmza / Erişim Kaydı" sütununa gönderim veya portal görüntüleme kaydının tarih-saat bilgisi yazılır; sistem kayıtları ayrıca saklanır.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Eden (İK / Bordro Sorumlusu)</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Çalışan Şerh Alanı</w:t>
      </w:r>
    </w:p>
    <w:p>
      <w:pPr>
        <w:spacing w:after="120" w:before="0" w:line="300"/>
        <w:jc w:val="both"/>
      </w:pPr>
      <w:r>
        <w:rPr>
          <w:rFonts w:ascii="Calibri" w:cs="Calibri" w:eastAsia="Calibri" w:hAnsi="Calibri"/>
          <w:color w:val="3A4A61"/>
          <w:sz w:val="21"/>
          <w:szCs w:val="21"/>
        </w:rPr>
        <w:t xml:space="preserve">Pusuladaki hesaplamaya itirazı olan çalışan, itirazını aşağıya yazabilir. Şerh, ücretin ödendiği gerçeğini değiştirmez; ancak itiraz edilen kalemlerin incelenmesini sağlar.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224"/>
        <w:gridCol w:w="2224"/>
        <w:gridCol w:w="3706"/>
        <w:gridCol w:w="1484"/>
      </w:tblGrid>
      <w:tr>
        <w:trPr>
          <w:cantSplit/>
          <w:trHeight w:val="400" w:hRule="atLeast"/>
        </w:trPr>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İtiraz Edilen Kalem</w:t>
            </w:r>
          </w:p>
        </w:tc>
        <w:tc>
          <w:tcPr>
            <w:tcW w:type="dxa" w:w="37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c>
          <w:tcPr>
            <w:tcW w:type="dxa" w:w="148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 / İmza</w:t>
            </w:r>
          </w:p>
        </w:tc>
      </w:tr>
      <w:tr>
        <w:trPr>
          <w:cantSplit/>
          <w:trHeight w:val="380" w:hRule="atLeast"/>
        </w:trPr>
        <w:tc>
          <w:tcPr>
            <w:tcW w:type="dxa" w:w="2224"/>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3706"/>
            <w:tcMar>
              <w:top w:type="dxa" w:w="60"/>
              <w:left w:type="dxa" w:w="110"/>
              <w:bottom w:type="dxa" w:w="60"/>
              <w:right w:type="dxa" w:w="110"/>
            </w:tcMar>
            <w:vAlign w:val="center"/>
          </w:tcPr>
          <w:p>
            <w:pPr>
              <w:spacing w:before="40" w:after="40"/>
            </w:pPr>
          </w:p>
        </w:tc>
        <w:tc>
          <w:tcPr>
            <w:tcW w:type="dxa" w:w="1484"/>
            <w:tcMar>
              <w:top w:type="dxa" w:w="60"/>
              <w:left w:type="dxa" w:w="110"/>
              <w:bottom w:type="dxa" w:w="60"/>
              <w:right w:type="dxa" w:w="110"/>
            </w:tcMar>
            <w:vAlign w:val="center"/>
          </w:tcPr>
          <w:p>
            <w:pPr>
              <w:spacing w:before="40" w:after="40"/>
            </w:pPr>
          </w:p>
        </w:tc>
      </w:tr>
      <w:tr>
        <w:trPr>
          <w:cantSplit/>
          <w:trHeight w:val="380" w:hRule="atLeast"/>
        </w:trPr>
        <w:tc>
          <w:tcPr>
            <w:tcW w:type="dxa" w:w="2224"/>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3706"/>
            <w:shd w:fill="F5F8FB" w:color="auto" w:val="clear"/>
            <w:tcMar>
              <w:top w:type="dxa" w:w="60"/>
              <w:left w:type="dxa" w:w="110"/>
              <w:bottom w:type="dxa" w:w="60"/>
              <w:right w:type="dxa" w:w="110"/>
            </w:tcMar>
            <w:vAlign w:val="center"/>
          </w:tcPr>
          <w:p>
            <w:pPr>
              <w:spacing w:before="40" w:after="40"/>
            </w:pPr>
          </w:p>
        </w:tc>
        <w:tc>
          <w:tcPr>
            <w:tcW w:type="dxa" w:w="148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224"/>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3706"/>
            <w:tcMar>
              <w:top w:type="dxa" w:w="60"/>
              <w:left w:type="dxa" w:w="110"/>
              <w:bottom w:type="dxa" w:w="60"/>
              <w:right w:type="dxa" w:w="110"/>
            </w:tcMar>
            <w:vAlign w:val="center"/>
          </w:tcPr>
          <w:p>
            <w:pPr>
              <w:spacing w:before="40" w:after="40"/>
            </w:pPr>
          </w:p>
        </w:tc>
        <w:tc>
          <w:tcPr>
            <w:tcW w:type="dxa" w:w="1484"/>
            <w:tcMar>
              <w:top w:type="dxa" w:w="60"/>
              <w:left w:type="dxa" w:w="110"/>
              <w:bottom w:type="dxa" w:w="60"/>
              <w:right w:type="dxa" w:w="110"/>
            </w:tcMar>
            <w:vAlign w:val="center"/>
          </w:tcPr>
          <w:p>
            <w:pPr>
              <w:spacing w:before="40" w:after="4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4. E-Bordro Kullanım Beyanı (Bireysel)</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E-bordro Gönderilecek E-posta / Portal Kullanıcı 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Beyan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Ücret hesap pusulalarımın bundan sonra kâğıt yerine yukarıdaki e-posta adresime veya şirketin çalışan portalına elektronik olarak iletilmesini kabul ediyorum. Adres veya erişim bilgimde değişiklik olursa İK'ya bildireceğim. Dilediğim zaman pusulamın imzalı veya işyerinin özel işaretini taşıyan basılı bir örneğini talep edebileceğim konusunda bilgilendirildim.</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E-bordroyu kabul ediyorum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Kâğıt pusula almaya devam etmek istiyorum</w:t>
      </w:r>
      <w:r>
        <w:rPr>
          <w:rFonts w:ascii="Calibri" w:cs="Calibri" w:eastAsia="Calibri" w:hAnsi="Calibri"/>
        </w:rPr>
        <w:t xml:space="preserve"/>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Bordro Teslimi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Pusulada ödeme günü ve ilişkin olduğu dönem yazılı (İş Kanunu md. 37).</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 hafta tatili, bayram ve genel tatil ücretleri gibi eklemeler ayrı satırlarda gösterildi.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Vergi, SGK primi, avans, nafaka, icra gibi kesintiler ayrı ayrı gösterildi.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Pusula imzalı veya işyerinin özel işaretini (kaşe / elektronik imza / logo ve sistem kaydı) taşıyor.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Pusuladaki net tutar ile bankaya yatırılan tutar karşılaştırıldı; ödeme dekontları saklandı.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Puantaj (fazla çalışma, izin, rapor günleri) ile bordro kalemleri tutarlı.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kesme cezası varsa sözleşme veya TİS'te dayanağı bulunuyor, sebebi çalışana derhal bildirildi ve aylık iki gündelik sınırı aşılmadı (md. 38).</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E-bordroda gönderim / görüntüleme kayıtları dönem dosyasında saklanıyor.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Şerh düşülen kalemler incelendi; sonuç çalışana yazılı olarak bildirildi.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Tutanak ve pusula örnekleri dönem klasörüne ve gerekirse özlük dosyasına konuldu.</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37'ye göre işveren, işyerinde veya bankaya yaptığı ücret ödemelerinde işçiye ücret hesabını gösteren, imzalı veya işyerinin özel işaretini taşıyan bir pusula vermek zorundadır; bu işlemler damga vergisi ve her çeşit resim ve harçtan muaftır. Bu tutanak pusulanın yerine geçmez; pusulanın verildiğini ispat etmeye yarar. Ücret alacaklarında zamanaşımı süresi beş yıl olduğundan teslim kayıtlarını en az bu süre boyunca saklamanız önerilir.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[İK-BRD-xx]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Ücret Hesap Pusulası (Bordro) Teslim Tutanağı</dc:title>
  <dc:creator>İK Partner</dc:creator>
  <dc:description>Ücret Hesap Pusulası (Bordro) Teslim Tutanağı — İK Partner (ikpartner.com) ücretsiz İK şablonu</dc:description>
  <cp:lastModifiedBy>Un-named</cp:lastModifiedBy>
  <cp:revision>1</cp:revision>
  <dcterms:created xsi:type="dcterms:W3CDTF">2026-10-13T21:31:25.838Z</dcterms:created>
  <dcterms:modified xsi:type="dcterms:W3CDTF">2026-10-13T21:31:25.838Z</dcterms:modified>
</cp:coreProperties>
</file>

<file path=docProps/custom.xml><?xml version="1.0" encoding="utf-8"?>
<Properties xmlns="http://schemas.openxmlformats.org/officeDocument/2006/custom-properties" xmlns:vt="http://schemas.openxmlformats.org/officeDocument/2006/docPropsVTypes"/>
</file>