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Sendikal Ayrımcılık İddiasına İşveren Cevap Yazısı</w:t>
      </w:r>
    </w:p>
    <w:p>
      <w:pPr>
        <w:pBdr>
          <w:bottom w:val="single" w:color="13B8A7" w:sz="12" w:space="8"/>
        </w:pBdr>
        <w:spacing w:after="220"/>
      </w:pPr>
      <w:r>
        <w:rPr>
          <w:rFonts w:ascii="Calibri" w:cs="Calibri" w:eastAsia="Calibri" w:hAnsi="Calibri"/>
          <w:color w:val="5A6B82"/>
          <w:sz w:val="21"/>
          <w:szCs w:val="21"/>
        </w:rPr>
        <w:t xml:space="preserve">Sendika üyeliği veya sendikal faaliyet nedeniyle fesih ya da farklı muamele yapıldığı iddiasına (6356 md. 25) işverenin yazılı cevabı: fesih ve fesih dışı iddialar için seçenekli paragraflar, ispat yüküne göre delil tablosu ve iç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Gönderen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[Çalışanın Adı Soyadı]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[Sendika Adı ve Şube]</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[Vekil Av. 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Adresi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[Adres / KEP]</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tarihli </w:t>
            </w:r>
            <w:r>
              <w:rPr>
                <w:rFonts w:ascii="Calibri" w:cs="Calibri" w:eastAsia="Calibri" w:hAnsi="Calibri"/>
                <w:color w:val="1D5888"/>
                <w:sz w:val="20"/>
                <w:szCs w:val="20"/>
                <w:shd w:fill="EAF1F8" w:color="auto" w:val="clear"/>
              </w:rPr>
              <w:t xml:space="preserve">[ihtarname / şikâyet dilekçesi / sendika yazısı / arabuluculuk başvurusu]</w:t>
            </w:r>
            <w:r>
              <w:rPr>
                <w:rFonts w:ascii="Calibri" w:cs="Calibri" w:eastAsia="Calibri" w:hAnsi="Calibri"/>
                <w:color w:val="3A4A61"/>
                <w:sz w:val="20"/>
                <w:szCs w:val="20"/>
              </w:rPr>
              <w:t xml:space="preserve"> (</w:t>
            </w:r>
            <w:r>
              <w:rPr>
                <w:rFonts w:ascii="Calibri" w:cs="Calibri" w:eastAsia="Calibri" w:hAnsi="Calibri"/>
                <w:color w:val="1D5888"/>
                <w:sz w:val="20"/>
                <w:szCs w:val="20"/>
                <w:shd w:fill="EAF1F8" w:color="auto" w:val="clear"/>
              </w:rPr>
              <w:t xml:space="preserve">[Noter, Yevmiye No / Kayıt No]</w:t>
            </w:r>
            <w:r>
              <w:rPr>
                <w:rFonts w:ascii="Calibri" w:cs="Calibri" w:eastAsia="Calibri" w:hAnsi="Calibri"/>
                <w:color w:val="3A4A61"/>
                <w:sz w:val="20"/>
                <w:szCs w:val="20"/>
              </w:rPr>
              <w:t xml:space="preserve">)</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Sendikal ayrımcılık iddiasına cevabımızdır.</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Gönderim Şekli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Noter  ☐ KEP  ☐ İadeli taahhütlü posta  ☐ Elden tebliğ</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İddianın Özeti</w:t>
      </w:r>
    </w:p>
    <w:p>
      <w:pPr>
        <w:spacing w:after="120" w:before="0" w:line="300"/>
        <w:jc w:val="both"/>
      </w:pPr>
      <w:r>
        <w:rPr>
          <w:rFonts w:ascii="Calibri" w:cs="Calibri" w:eastAsia="Calibri" w:hAnsi="Calibri"/>
          <w:color w:val="3A4A61"/>
          <w:sz w:val="21"/>
          <w:szCs w:val="21"/>
        </w:rPr>
        <w:t xml:space="preserve">İlgi'de kayıtlı yazınızda; </w:t>
      </w:r>
      <w:r>
        <w:rPr>
          <w:rFonts w:ascii="Calibri" w:cs="Calibri" w:eastAsia="Calibri" w:hAnsi="Calibri"/>
          <w:color w:val="1D5888"/>
          <w:sz w:val="21"/>
          <w:szCs w:val="21"/>
          <w:shd w:fill="EAF1F8" w:color="auto" w:val="clear"/>
        </w:rPr>
        <w:t xml:space="preserve">[Çalışanın Adı Soyadı]</w:t>
      </w:r>
      <w:r>
        <w:rPr>
          <w:rFonts w:ascii="Calibri" w:cs="Calibri" w:eastAsia="Calibri" w:hAnsi="Calibri"/>
          <w:color w:val="3A4A61"/>
          <w:sz w:val="21"/>
          <w:szCs w:val="21"/>
        </w:rPr>
        <w:t xml:space="preserve">'nın </w:t>
      </w:r>
      <w:r>
        <w:rPr>
          <w:rFonts w:ascii="Calibri" w:cs="Calibri" w:eastAsia="Calibri" w:hAnsi="Calibri"/>
          <w:color w:val="1D5888"/>
          <w:sz w:val="21"/>
          <w:szCs w:val="21"/>
          <w:shd w:fill="EAF1F8" w:color="auto" w:val="clear"/>
        </w:rPr>
        <w:t xml:space="preserve">[Sendika Adı]</w:t>
      </w:r>
      <w:r>
        <w:rPr>
          <w:rFonts w:ascii="Calibri" w:cs="Calibri" w:eastAsia="Calibri" w:hAnsi="Calibri"/>
          <w:color w:val="3A4A61"/>
          <w:sz w:val="21"/>
          <w:szCs w:val="21"/>
        </w:rPr>
        <w:t xml:space="preserve"> üyeliği / sendikal faaliyetleri nedeniyle [iş sözleşmesinin feshedildiği / terfi, ücret artışı, prim, vardiya, görev yeri vb. konularda farklı muameleye tabi tutulduğu / üyelikten çekilmeye zorlandığı] ileri sürülmekte ve </w:t>
      </w:r>
      <w:r>
        <w:rPr>
          <w:rFonts w:ascii="Calibri" w:cs="Calibri" w:eastAsia="Calibri" w:hAnsi="Calibri"/>
          <w:color w:val="1D5888"/>
          <w:sz w:val="21"/>
          <w:szCs w:val="21"/>
          <w:shd w:fill="EAF1F8" w:color="auto" w:val="clear"/>
        </w:rPr>
        <w:t xml:space="preserve">[sendikal tazminat / işe iade / farkın ödenmesi / uygulamanın düzeltilmesi]</w:t>
      </w:r>
      <w:r>
        <w:rPr>
          <w:rFonts w:ascii="Calibri" w:cs="Calibri" w:eastAsia="Calibri" w:hAnsi="Calibri"/>
          <w:color w:val="3A4A61"/>
          <w:sz w:val="21"/>
          <w:szCs w:val="21"/>
        </w:rPr>
        <w:t xml:space="preserve"> talep edilmektedir.</w:t>
      </w:r>
    </w:p>
    <w:p>
      <w:pPr>
        <w:keepNext/>
        <w:pBdr>
          <w:bottom w:val="single" w:color="DCE4EE" w:sz="6" w:space="4"/>
        </w:pBdr>
        <w:spacing w:before="280" w:after="120"/>
      </w:pPr>
      <w:r>
        <w:rPr>
          <w:rFonts w:ascii="Calibri" w:cs="Calibri" w:eastAsia="Calibri" w:hAnsi="Calibri"/>
          <w:b/>
          <w:bCs/>
          <w:color w:val="0E2849"/>
          <w:sz w:val="25"/>
          <w:szCs w:val="25"/>
        </w:rPr>
        <w:t xml:space="preserve">2. Şirketimizin Temel Tutumu</w:t>
      </w:r>
    </w:p>
    <w:p>
      <w:pPr>
        <w:spacing w:after="120" w:before="0" w:line="300"/>
        <w:jc w:val="both"/>
      </w:pPr>
      <w:r>
        <w:rPr>
          <w:rFonts w:ascii="Calibri" w:cs="Calibri" w:eastAsia="Calibri" w:hAnsi="Calibri"/>
          <w:color w:val="3A4A61"/>
          <w:sz w:val="21"/>
          <w:szCs w:val="21"/>
        </w:rPr>
        <w:t xml:space="preserve">Şirketimiz, 6356 sayılı Sendikalar ve Toplu İş Sözleşmesi Kanunu'nun 25. maddesi uyarınca işe alma, çalışma koşulları ve iş sözleşmesinin sona erdirilmesinde sendika üyesi olan ve olmayan çalışanlar ile farklı sendikalara üye çalışanlar arasında ayrım yapmamaktadır. Çalışanlarımızın sendikaya üye olma, üyeliği sürdürme veya üyelikten çekilme konusundaki kararlarına müdahale edilmemektedir. İddiaya ilişkin değerlendirmemiz aşağıdadır.</w:t>
      </w:r>
    </w:p>
    <w:p>
      <w:pPr>
        <w:keepNext/>
        <w:pBdr>
          <w:bottom w:val="single" w:color="DCE4EE" w:sz="6" w:space="4"/>
        </w:pBdr>
        <w:spacing w:before="280" w:after="120"/>
      </w:pPr>
      <w:r>
        <w:rPr>
          <w:rFonts w:ascii="Calibri" w:cs="Calibri" w:eastAsia="Calibri" w:hAnsi="Calibri"/>
          <w:b/>
          <w:bCs/>
          <w:color w:val="0E2849"/>
          <w:sz w:val="25"/>
          <w:szCs w:val="25"/>
        </w:rPr>
        <w:t xml:space="preserve">3. Değerlendirme (uygun seçenekleri kullanın)</w:t>
      </w:r>
    </w:p>
    <w:p>
      <w:pPr>
        <w:spacing w:after="120" w:before="0" w:line="300"/>
        <w:jc w:val="both"/>
      </w:pPr>
      <w:r>
        <w:rPr>
          <w:rFonts w:ascii="Calibri" w:cs="Calibri" w:eastAsia="Calibri" w:hAnsi="Calibri"/>
          <w:b/>
          <w:bCs/>
          <w:color w:val="3A4A61"/>
          <w:sz w:val="21"/>
          <w:szCs w:val="21"/>
        </w:rPr>
        <w:t xml:space="preserve">A) Fesih iddiası – fesih geçerli / haklı nedene dayanmaktadır: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[Çalışanın Adı Soyadı]</w:t>
      </w:r>
      <w:r>
        <w:rPr>
          <w:rFonts w:ascii="Calibri" w:cs="Calibri" w:eastAsia="Calibri" w:hAnsi="Calibri"/>
          <w:color w:val="3A4A61"/>
          <w:sz w:val="21"/>
          <w:szCs w:val="21"/>
        </w:rPr>
        <w:t xml:space="preserve">'nın iş sözleşmesi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fesih bildiriminde açık ve kesin olarak belirtilen </w:t>
      </w:r>
      <w:r>
        <w:rPr>
          <w:rFonts w:ascii="Calibri" w:cs="Calibri" w:eastAsia="Calibri" w:hAnsi="Calibri"/>
          <w:color w:val="1D5888"/>
          <w:sz w:val="21"/>
          <w:szCs w:val="21"/>
          <w:shd w:fill="EAF1F8" w:color="auto" w:val="clear"/>
        </w:rPr>
        <w:t xml:space="preserve">[davranış / performans / işletme gerekleri / md. 25/II-(__)]</w:t>
      </w:r>
      <w:r>
        <w:rPr>
          <w:rFonts w:ascii="Calibri" w:cs="Calibri" w:eastAsia="Calibri" w:hAnsi="Calibri"/>
          <w:color w:val="3A4A61"/>
          <w:sz w:val="21"/>
          <w:szCs w:val="21"/>
        </w:rPr>
        <w:t xml:space="preserve"> nedeniyle feshedilmiştir. Fesih nedeni </w:t>
      </w:r>
      <w:r>
        <w:rPr>
          <w:rFonts w:ascii="Calibri" w:cs="Calibri" w:eastAsia="Calibri" w:hAnsi="Calibri"/>
          <w:color w:val="1D5888"/>
          <w:sz w:val="21"/>
          <w:szCs w:val="21"/>
          <w:shd w:fill="EAF1F8" w:color="auto" w:val="clear"/>
        </w:rPr>
        <w:t xml:space="preserve">[tutanaklar, savunma, performans kayıtları, işletme kararı]</w:t>
      </w:r>
      <w:r>
        <w:rPr>
          <w:rFonts w:ascii="Calibri" w:cs="Calibri" w:eastAsia="Calibri" w:hAnsi="Calibri"/>
          <w:color w:val="3A4A61"/>
          <w:sz w:val="21"/>
          <w:szCs w:val="21"/>
        </w:rPr>
        <w:t xml:space="preserve"> ile belgelidir. Fesih kararı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[karar mercii]</w:t>
      </w:r>
      <w:r>
        <w:rPr>
          <w:rFonts w:ascii="Calibri" w:cs="Calibri" w:eastAsia="Calibri" w:hAnsi="Calibri"/>
          <w:color w:val="3A4A61"/>
          <w:sz w:val="21"/>
          <w:szCs w:val="21"/>
        </w:rPr>
        <w:t xml:space="preserve"> tarafından alınmış olup sendika üyeliği veya sendikal faaliyetle bağlantılı değildir. 6356 sayılı Kanun md. 25/6 uyarınca feshin nedenini ispat yükümlülüğümüzü belgelerimizle karşılamaya hazırız; feshin sendikal nedene dayandığı iddiasının ispatı ise iddia sahibine aittir."</w:t>
      </w:r>
    </w:p>
    <w:p>
      <w:pPr>
        <w:spacing w:after="120" w:before="0" w:line="300"/>
        <w:jc w:val="both"/>
      </w:pPr>
      <w:r>
        <w:rPr>
          <w:rFonts w:ascii="Calibri" w:cs="Calibri" w:eastAsia="Calibri" w:hAnsi="Calibri"/>
          <w:b/>
          <w:bCs/>
          <w:color w:val="3A4A61"/>
          <w:sz w:val="21"/>
          <w:szCs w:val="21"/>
        </w:rPr>
        <w:t xml:space="preserve">B) Fesih kararı ile üyelik arasındaki zaman ilişkisi:</w:t>
      </w:r>
      <w:r>
        <w:rPr>
          <w:rFonts w:ascii="Calibri" w:cs="Calibri" w:eastAsia="Calibri" w:hAnsi="Calibri"/>
          <w:color w:val="3A4A61"/>
          <w:sz w:val="21"/>
          <w:szCs w:val="21"/>
        </w:rPr>
        <w:t xml:space="preserve"> "Fesih sürecini başlatan </w:t>
      </w:r>
      <w:r>
        <w:rPr>
          <w:rFonts w:ascii="Calibri" w:cs="Calibri" w:eastAsia="Calibri" w:hAnsi="Calibri"/>
          <w:color w:val="1D5888"/>
          <w:sz w:val="21"/>
          <w:szCs w:val="21"/>
          <w:shd w:fill="EAF1F8" w:color="auto" w:val="clear"/>
        </w:rPr>
        <w:t xml:space="preserve">[olay / performans değerlendirmesi / yeniden yapılanma kararı]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yani </w:t>
      </w:r>
      <w:r>
        <w:rPr>
          <w:rFonts w:ascii="Calibri" w:cs="Calibri" w:eastAsia="Calibri" w:hAnsi="Calibri"/>
          <w:color w:val="1D5888"/>
          <w:sz w:val="21"/>
          <w:szCs w:val="21"/>
          <w:shd w:fill="EAF1F8" w:color="auto" w:val="clear"/>
        </w:rPr>
        <w:t xml:space="preserve">[sendikal faaliyetin başladığı / üyeliğin bildirildiği]</w:t>
      </w:r>
      <w:r>
        <w:rPr>
          <w:rFonts w:ascii="Calibri" w:cs="Calibri" w:eastAsia="Calibri" w:hAnsi="Calibri"/>
          <w:color w:val="3A4A61"/>
          <w:sz w:val="21"/>
          <w:szCs w:val="21"/>
        </w:rPr>
        <w:t xml:space="preserve"> tarihten önce başlamıştır. [Fesih tarihinde çalışanın sendika üyeliğine ilişkin şirketimize ulaşmış bir bildirim veya bilgi bulunmamaktadır.]" (Yalnızca gerçeğe uygunsa kullanın.)</w:t>
      </w:r>
    </w:p>
    <w:p>
      <w:pPr>
        <w:spacing w:after="120" w:before="0" w:line="300"/>
        <w:jc w:val="both"/>
      </w:pPr>
      <w:r>
        <w:rPr>
          <w:rFonts w:ascii="Calibri" w:cs="Calibri" w:eastAsia="Calibri" w:hAnsi="Calibri"/>
          <w:b/>
          <w:bCs/>
          <w:color w:val="3A4A61"/>
          <w:sz w:val="21"/>
          <w:szCs w:val="21"/>
        </w:rPr>
        <w:t xml:space="preserve">C) Toplu fesih / kadro azaltımı:</w:t>
      </w:r>
      <w:r>
        <w:rPr>
          <w:rFonts w:ascii="Calibri" w:cs="Calibri" w:eastAsia="Calibri" w:hAnsi="Calibri"/>
          <w:color w:val="3A4A61"/>
          <w:sz w:val="21"/>
          <w:szCs w:val="21"/>
        </w:rPr>
        <w:t xml:space="preserve"> "Kadro azaltımı </w:t>
      </w:r>
      <w:r>
        <w:rPr>
          <w:rFonts w:ascii="Calibri" w:cs="Calibri" w:eastAsia="Calibri" w:hAnsi="Calibri"/>
          <w:color w:val="1D5888"/>
          <w:sz w:val="21"/>
          <w:szCs w:val="21"/>
          <w:shd w:fill="EAF1F8" w:color="auto" w:val="clear"/>
        </w:rPr>
        <w:t xml:space="preserve">[birim]</w:t>
      </w:r>
      <w:r>
        <w:rPr>
          <w:rFonts w:ascii="Calibri" w:cs="Calibri" w:eastAsia="Calibri" w:hAnsi="Calibri"/>
          <w:color w:val="3A4A61"/>
          <w:sz w:val="21"/>
          <w:szCs w:val="21"/>
        </w:rPr>
        <w:t xml:space="preserve"> genelinde uygulanmış;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sendika üyesi ve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sendika üyesi olmayan çalışanın iş sözleşmesi aynı objektif kriterler (</w:t>
      </w:r>
      <w:r>
        <w:rPr>
          <w:rFonts w:ascii="Calibri" w:cs="Calibri" w:eastAsia="Calibri" w:hAnsi="Calibri"/>
          <w:color w:val="1D5888"/>
          <w:sz w:val="21"/>
          <w:szCs w:val="21"/>
          <w:shd w:fill="EAF1F8" w:color="auto" w:val="clear"/>
        </w:rPr>
        <w:t xml:space="preserve">[kıdem / performans puanı / pozisyonun kaldırılması]</w:t>
      </w:r>
      <w:r>
        <w:rPr>
          <w:rFonts w:ascii="Calibri" w:cs="Calibri" w:eastAsia="Calibri" w:hAnsi="Calibri"/>
          <w:color w:val="3A4A61"/>
          <w:sz w:val="21"/>
          <w:szCs w:val="21"/>
        </w:rPr>
        <w:t xml:space="preserve">) esas alınarak sona erdirilmiştir. Kriterler ve uygulama tablosu ektedir."</w:t>
      </w:r>
    </w:p>
    <w:p>
      <w:pPr>
        <w:spacing w:after="120" w:before="0" w:line="300"/>
        <w:jc w:val="both"/>
      </w:pPr>
      <w:r>
        <w:rPr>
          <w:rFonts w:ascii="Calibri" w:cs="Calibri" w:eastAsia="Calibri" w:hAnsi="Calibri"/>
          <w:b/>
          <w:bCs/>
          <w:color w:val="3A4A61"/>
          <w:sz w:val="21"/>
          <w:szCs w:val="21"/>
        </w:rPr>
        <w:t xml:space="preserve">D) Fesih dışı farklı muamele iddiası: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[Terfi / ücret artışı / prim / vardiya / görev yeri]</w:t>
      </w:r>
      <w:r>
        <w:rPr>
          <w:rFonts w:ascii="Calibri" w:cs="Calibri" w:eastAsia="Calibri" w:hAnsi="Calibri"/>
          <w:color w:val="3A4A61"/>
          <w:sz w:val="21"/>
          <w:szCs w:val="21"/>
        </w:rPr>
        <w:t xml:space="preserve"> kararları, tüm çalışanlara önceden duyurulan </w:t>
      </w:r>
      <w:r>
        <w:rPr>
          <w:rFonts w:ascii="Calibri" w:cs="Calibri" w:eastAsia="Calibri" w:hAnsi="Calibri"/>
          <w:color w:val="1D5888"/>
          <w:sz w:val="21"/>
          <w:szCs w:val="21"/>
          <w:shd w:fill="EAF1F8" w:color="auto" w:val="clear"/>
        </w:rPr>
        <w:t xml:space="preserve">[kriterler]</w:t>
      </w:r>
      <w:r>
        <w:rPr>
          <w:rFonts w:ascii="Calibri" w:cs="Calibri" w:eastAsia="Calibri" w:hAnsi="Calibri"/>
          <w:color w:val="3A4A61"/>
          <w:sz w:val="21"/>
          <w:szCs w:val="21"/>
        </w:rPr>
        <w:t xml:space="preserve"> doğrultusunda verilmiştir. </w:t>
      </w:r>
      <w:r>
        <w:rPr>
          <w:rFonts w:ascii="Calibri" w:cs="Calibri" w:eastAsia="Calibri" w:hAnsi="Calibri"/>
          <w:color w:val="1D5888"/>
          <w:sz w:val="21"/>
          <w:szCs w:val="21"/>
          <w:shd w:fill="EAF1F8" w:color="auto" w:val="clear"/>
        </w:rPr>
        <w:t xml:space="preserve">[Çalışanın Adı Soyadı]</w:t>
      </w:r>
      <w:r>
        <w:rPr>
          <w:rFonts w:ascii="Calibri" w:cs="Calibri" w:eastAsia="Calibri" w:hAnsi="Calibri"/>
          <w:color w:val="3A4A61"/>
          <w:sz w:val="21"/>
          <w:szCs w:val="21"/>
        </w:rPr>
        <w:t xml:space="preserve"> ile karşılaştırılan çalışanlar arasındaki fark, </w:t>
      </w:r>
      <w:r>
        <w:rPr>
          <w:rFonts w:ascii="Calibri" w:cs="Calibri" w:eastAsia="Calibri" w:hAnsi="Calibri"/>
          <w:color w:val="1D5888"/>
          <w:sz w:val="21"/>
          <w:szCs w:val="21"/>
          <w:shd w:fill="EAF1F8" w:color="auto" w:val="clear"/>
        </w:rPr>
        <w:t xml:space="preserve">[objektif gerekçe: performans puanı, nitelik, kıdem, iş ihtiyacı]</w:t>
      </w:r>
      <w:r>
        <w:rPr>
          <w:rFonts w:ascii="Calibri" w:cs="Calibri" w:eastAsia="Calibri" w:hAnsi="Calibri"/>
          <w:color w:val="3A4A61"/>
          <w:sz w:val="21"/>
          <w:szCs w:val="21"/>
        </w:rPr>
        <w:t xml:space="preserve"> kaynaklıdır. Ücret, ikramiye, prim ve paraya ilişkin sosyal yardım konularında toplu iş sözleşmesinden kaynaklanan farklılıklar 6356 sayılı Kanun md. 25/2 uyarınca saklıdır."</w:t>
      </w:r>
    </w:p>
    <w:p>
      <w:pPr>
        <w:spacing w:after="120" w:before="0" w:line="300"/>
        <w:jc w:val="both"/>
      </w:pPr>
      <w:r>
        <w:rPr>
          <w:rFonts w:ascii="Calibri" w:cs="Calibri" w:eastAsia="Calibri" w:hAnsi="Calibri"/>
          <w:b/>
          <w:bCs/>
          <w:color w:val="3A4A61"/>
          <w:sz w:val="21"/>
          <w:szCs w:val="21"/>
        </w:rPr>
        <w:t xml:space="preserve">E) Kısmi kabul ve düzeltme:</w:t>
      </w:r>
      <w:r>
        <w:rPr>
          <w:rFonts w:ascii="Calibri" w:cs="Calibri" w:eastAsia="Calibri" w:hAnsi="Calibri"/>
          <w:color w:val="3A4A61"/>
          <w:sz w:val="21"/>
          <w:szCs w:val="21"/>
        </w:rPr>
        <w:t xml:space="preserve"> "Yapılan incelemede </w:t>
      </w:r>
      <w:r>
        <w:rPr>
          <w:rFonts w:ascii="Calibri" w:cs="Calibri" w:eastAsia="Calibri" w:hAnsi="Calibri"/>
          <w:color w:val="1D5888"/>
          <w:sz w:val="21"/>
          <w:szCs w:val="21"/>
          <w:shd w:fill="EAF1F8" w:color="auto" w:val="clear"/>
        </w:rPr>
        <w:t xml:space="preserve">[uygulama]</w:t>
      </w:r>
      <w:r>
        <w:rPr>
          <w:rFonts w:ascii="Calibri" w:cs="Calibri" w:eastAsia="Calibri" w:hAnsi="Calibri"/>
          <w:color w:val="3A4A61"/>
          <w:sz w:val="21"/>
          <w:szCs w:val="21"/>
        </w:rPr>
        <w:t xml:space="preserve"> konusunda </w:t>
      </w:r>
      <w:r>
        <w:rPr>
          <w:rFonts w:ascii="Calibri" w:cs="Calibri" w:eastAsia="Calibri" w:hAnsi="Calibri"/>
          <w:color w:val="1D5888"/>
          <w:sz w:val="21"/>
          <w:szCs w:val="21"/>
          <w:shd w:fill="EAF1F8" w:color="auto" w:val="clear"/>
        </w:rPr>
        <w:t xml:space="preserve">[Çalışanın Adı Soyadı]</w:t>
      </w:r>
      <w:r>
        <w:rPr>
          <w:rFonts w:ascii="Calibri" w:cs="Calibri" w:eastAsia="Calibri" w:hAnsi="Calibri"/>
          <w:color w:val="3A4A61"/>
          <w:sz w:val="21"/>
          <w:szCs w:val="21"/>
        </w:rPr>
        <w:t xml:space="preserve"> aleyhine bir farklılık oluştuğu tespit edilmiştir. Bu farklılık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itibarıyla giderilmiş, </w:t>
      </w:r>
      <w:r>
        <w:rPr>
          <w:rFonts w:ascii="Calibri" w:cs="Calibri" w:eastAsia="Calibri" w:hAnsi="Calibri"/>
          <w:color w:val="1D5888"/>
          <w:sz w:val="21"/>
          <w:szCs w:val="21"/>
          <w:shd w:fill="EAF1F8" w:color="auto" w:val="clear"/>
        </w:rPr>
        <w:t xml:space="preserve">[fark tutarı / düzeltme]</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[ödenmiştir / uygulanmıştır]</w:t>
      </w:r>
      <w:r>
        <w:rPr>
          <w:rFonts w:ascii="Calibri" w:cs="Calibri" w:eastAsia="Calibri" w:hAnsi="Calibri"/>
          <w:color w:val="3A4A61"/>
          <w:sz w:val="21"/>
          <w:szCs w:val="21"/>
        </w:rPr>
        <w:t xml:space="preserve">. Bu düzeltme, inceleme sonucu tespit edilen konu ile sınırlıdır."</w:t>
      </w:r>
    </w:p>
    <w:p>
      <w:pPr>
        <w:keepNext/>
        <w:pBdr>
          <w:bottom w:val="single" w:color="DCE4EE" w:sz="6" w:space="4"/>
        </w:pBdr>
        <w:spacing w:before="280" w:after="120"/>
      </w:pPr>
      <w:r>
        <w:rPr>
          <w:rFonts w:ascii="Calibri" w:cs="Calibri" w:eastAsia="Calibri" w:hAnsi="Calibri"/>
          <w:b/>
          <w:bCs/>
          <w:color w:val="0E2849"/>
          <w:sz w:val="25"/>
          <w:szCs w:val="25"/>
        </w:rPr>
        <w:t xml:space="preserve">4. Sonuç</w:t>
      </w:r>
    </w:p>
    <w:p>
      <w:pPr>
        <w:spacing w:after="120" w:before="0" w:line="300"/>
        <w:jc w:val="both"/>
      </w:pPr>
      <w:r>
        <w:rPr>
          <w:rFonts w:ascii="Calibri" w:cs="Calibri" w:eastAsia="Calibri" w:hAnsi="Calibri"/>
          <w:color w:val="3A4A61"/>
          <w:sz w:val="21"/>
          <w:szCs w:val="21"/>
        </w:rPr>
        <w:t xml:space="preserve">Açıklanan nedenlerle </w:t>
      </w:r>
      <w:r>
        <w:rPr>
          <w:rFonts w:ascii="Calibri" w:cs="Calibri" w:eastAsia="Calibri" w:hAnsi="Calibri"/>
          <w:color w:val="1D5888"/>
          <w:sz w:val="21"/>
          <w:szCs w:val="21"/>
          <w:shd w:fill="EAF1F8" w:color="auto" w:val="clear"/>
        </w:rPr>
        <w:t xml:space="preserve">[sendikal tazminat / işe iade / diğer]</w:t>
      </w:r>
      <w:r>
        <w:rPr>
          <w:rFonts w:ascii="Calibri" w:cs="Calibri" w:eastAsia="Calibri" w:hAnsi="Calibri"/>
          <w:color w:val="3A4A61"/>
          <w:sz w:val="21"/>
          <w:szCs w:val="21"/>
        </w:rPr>
        <w:t xml:space="preserve"> taleplerinin </w:t>
      </w:r>
      <w:r>
        <w:rPr>
          <w:rFonts w:ascii="Calibri" w:cs="Calibri" w:eastAsia="Calibri" w:hAnsi="Calibri"/>
          <w:color w:val="1D5888"/>
          <w:sz w:val="21"/>
          <w:szCs w:val="21"/>
          <w:shd w:fill="EAF1F8" w:color="auto" w:val="clear"/>
        </w:rPr>
        <w:t xml:space="preserve">[tamamen / düzeltilen kısım dışında]</w:t>
      </w:r>
      <w:r>
        <w:rPr>
          <w:rFonts w:ascii="Calibri" w:cs="Calibri" w:eastAsia="Calibri" w:hAnsi="Calibri"/>
          <w:color w:val="3A4A61"/>
          <w:sz w:val="21"/>
          <w:szCs w:val="21"/>
        </w:rPr>
        <w:t xml:space="preserve"> yerinde olmadığını, şirketimizin her türlü yasal hak ve itirazının saklı olduğunu bildiririz. Konuyu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'e kadar </w:t>
      </w:r>
      <w:r>
        <w:rPr>
          <w:rFonts w:ascii="Calibri" w:cs="Calibri" w:eastAsia="Calibri" w:hAnsi="Calibri"/>
          <w:color w:val="1D5888"/>
          <w:sz w:val="21"/>
          <w:szCs w:val="21"/>
          <w:shd w:fill="EAF1F8" w:color="auto" w:val="clear"/>
        </w:rPr>
        <w:t xml:space="preserve">[Yetkili / telefon / e-posta]</w:t>
      </w:r>
      <w:r>
        <w:rPr>
          <w:rFonts w:ascii="Calibri" w:cs="Calibri" w:eastAsia="Calibri" w:hAnsi="Calibri"/>
          <w:color w:val="3A4A61"/>
          <w:sz w:val="21"/>
          <w:szCs w:val="21"/>
        </w:rPr>
        <w:t xml:space="preserve"> ile görüşmeye ve dava şartı arabuluculuk sürecine iyi niyetle katılmaya hazırız.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Delil ve İspat Tablosu (iç kullanım – gönderilmez)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224"/>
        <w:gridCol w:w="2965"/>
        <w:gridCol w:w="2965"/>
        <w:gridCol w:w="1484"/>
      </w:tblGrid>
      <w:tr>
        <w:trPr>
          <w:cantSplit/>
          <w:trHeight w:val="400" w:hRule="atLeast"/>
        </w:trPr>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İddia</w:t>
            </w:r>
          </w:p>
        </w:tc>
        <w:tc>
          <w:tcPr>
            <w:tcW w:type="dxa" w:w="29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İspat Yükü (6356 md. 25)</w:t>
            </w:r>
          </w:p>
        </w:tc>
        <w:tc>
          <w:tcPr>
            <w:tcW w:type="dxa" w:w="29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Elimizdeki Delil</w:t>
            </w:r>
          </w:p>
        </w:tc>
        <w:tc>
          <w:tcPr>
            <w:tcW w:type="dxa" w:w="14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Eksik / Risk</w:t>
            </w:r>
          </w:p>
        </w:tc>
      </w:tr>
      <w:tr>
        <w:trPr>
          <w:cantSplit/>
          <w:trHeight w:val="380" w:hRule="atLeast"/>
        </w:trPr>
        <w:tc>
          <w:tcPr>
            <w:tcW w:type="dxa" w:w="222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Feshin sendikal nedene dayandığı</w:t>
            </w:r>
          </w:p>
        </w:tc>
        <w:tc>
          <w:tcPr>
            <w:tcW w:type="dxa" w:w="29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Feshin nedenini işveren; sendikal nedeni işçi ispat eder (md. 25/6)</w:t>
            </w:r>
          </w:p>
        </w:tc>
        <w:tc>
          <w:tcPr>
            <w:tcW w:type="dxa" w:w="29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[Fesih bildirimi, savunma, tutanaklar, işletme kararı]</w:t>
            </w:r>
          </w:p>
        </w:tc>
        <w:tc>
          <w:tcPr>
            <w:tcW w:type="dxa" w:w="148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22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dışı ayrımcılık (terfi, ücret, vardiya vb.)</w:t>
            </w:r>
          </w:p>
        </w:tc>
        <w:tc>
          <w:tcPr>
            <w:tcW w:type="dxa" w:w="29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İşçi ispat eder; güçlü belirti gösterirse işveren davranışının nedenini ispat eder (md. 25/7)</w:t>
            </w:r>
          </w:p>
        </w:tc>
        <w:tc>
          <w:tcPr>
            <w:tcW w:type="dxa" w:w="29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[Kriterler, değerlendirme formları, karşılaştırma tablosu]</w:t>
            </w:r>
          </w:p>
        </w:tc>
        <w:tc>
          <w:tcPr>
            <w:tcW w:type="dxa" w:w="14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222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Üyeliğe zorlama / üyelikten çekilmeye zorlama</w:t>
            </w:r>
          </w:p>
        </w:tc>
        <w:tc>
          <w:tcPr>
            <w:tcW w:type="dxa" w:w="29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Genel kurallar</w:t>
            </w:r>
          </w:p>
        </w:tc>
        <w:tc>
          <w:tcPr>
            <w:tcW w:type="dxa" w:w="29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[Yönetici beyanları, yazışmalar]</w:t>
            </w:r>
          </w:p>
        </w:tc>
        <w:tc>
          <w:tcPr>
            <w:tcW w:type="dxa" w:w="148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22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zamanlaması</w:t>
            </w:r>
          </w:p>
        </w:tc>
        <w:tc>
          <w:tcPr>
            <w:tcW w:type="dxa" w:w="29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[Sürecin başlangıç tarihini gösteren belgeler]</w:t>
            </w:r>
          </w:p>
        </w:tc>
        <w:tc>
          <w:tcPr>
            <w:tcW w:type="dxa" w:w="148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İddianın hangi işlem(ler)e yöneldiği (fesih, terfi, ücret, vardiya, görev yeri, baskı) tek tek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bildirimindeki gerekçe ile cevap yazısındaki gerekçenin birebir aynı olduğu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kararının hangi tarihte, kim tarafından ve hangi bilgiye dayanarak alındığı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dönemde benzer durumdaki sendika üyesi olmayan çalışanlara nasıl davranıldığı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Yöneticilerin sendikalaşma sürecindeki yazışmaları, toplantı notları ve mesajları gözden geçirildi; sendika aleyhtarı ifade bulunup bulunmadığı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"Üyelikten haberimiz yoktu" savunması yalnızca gerçekten doğrulanabiliyorsa kullanıldı.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 sendika temsilcisi söz konusuysa 6356 md. 24'teki özel güvence (haklı neden ve yazılı açık gerekçe) ayrıca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Yöneticilere, süreç boyunca sendika üyeliği hakkında soru sormama, telkinde bulunmama ve misilleme yapmama talimatı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hukuk danışmanı tarafından okundu; gönderim belgesi dosyalandı.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Hukuki Hatırlatma</w:t>
            </w:r>
          </w:p>
          <w:p>
            <w:pPr>
              <w:spacing w:after="20" w:line="280"/>
            </w:pPr>
            <w:r>
              <w:rPr>
                <w:rFonts w:ascii="Calibri" w:cs="Calibri" w:eastAsia="Calibri" w:hAnsi="Calibri"/>
                <w:color w:val="3A4A61"/>
                <w:sz w:val="19"/>
                <w:szCs w:val="19"/>
              </w:rPr>
              <w:t xml:space="preserve">6356 sayılı Kanun md. 25'e aykırılık halinde işçinin bir yıllık ücret tutarından az olmamak üzere sendikal tazminata hükmedilir. Sendikal nedenle fesih iddiasında işçi 4857 md. 20 ve 21'e göre işe iade davası açabilir; feshin sendikal nedenle yapıldığı tespit edilirse sendikal tazminat, işçinin işe başlatılıp başlatılmamasına bağlı olmaksızın ödenir ve işe başlatılmazsa ayrıca md. 21/1'deki tazminata hükmedilmez. Sendika üyeliği ve sendikal faaliyet md. 18'e göre fesih için geçerli neden değildir. Sendika üyeliği bilgisi özel nitelikli kişisel veridir (6698 md. 6); yalnızca gerekli ölçüde işleyin. Metni hukuk danışmanınızla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Belge No: [İK-SN-01]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Sendikal Ayrımcılık İddiasına İşveren Cevap Yazısı</dc:title>
  <dc:creator>İK Partner</dc:creator>
  <dc:description>Sendikal Ayrımcılık İddiasına İşveren Cevap Yazısı — İK Partner (ikpartner.com) ücretsiz İK şablonu</dc:description>
  <cp:lastModifiedBy>Un-named</cp:lastModifiedBy>
  <cp:revision>1</cp:revision>
  <dcterms:created xsi:type="dcterms:W3CDTF">2026-10-13T21:47:46.435Z</dcterms:created>
  <dcterms:modified xsi:type="dcterms:W3CDTF">2026-10-13T21:47:46.437Z</dcterms:modified>
</cp:coreProperties>
</file>

<file path=docProps/custom.xml><?xml version="1.0" encoding="utf-8"?>
<Properties xmlns="http://schemas.openxmlformats.org/officeDocument/2006/custom-properties" xmlns:vt="http://schemas.openxmlformats.org/officeDocument/2006/docPropsVTypes"/>
</file>