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Rekabet Yasağı Sözleşmesi</w:t>
      </w:r>
    </w:p>
    <w:p>
      <w:pPr>
        <w:pBdr>
          <w:bottom w:val="single" w:color="13B8A7" w:sz="12" w:space="8"/>
        </w:pBdr>
        <w:spacing w:after="220"/>
      </w:pPr>
      <w:r>
        <w:rPr>
          <w:rFonts w:ascii="Calibri" w:cs="Calibri" w:eastAsia="Calibri" w:hAnsi="Calibri"/>
          <w:color w:val="5A6B82"/>
          <w:sz w:val="21"/>
          <w:szCs w:val="21"/>
        </w:rPr>
        <w:t xml:space="preserve">İş sözleşmesinin sona ermesinden sonraki dönem için, 6098 sayılı Türk Borçlar Kanunu md. 444–447 çerçevesinde düzenlenen rekabet etmeme sözleşmesi.</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Taraflar</w:t>
      </w:r>
    </w:p>
    <w:p>
      <w:pPr>
        <w:spacing w:after="120" w:before="0" w:line="300"/>
        <w:jc w:val="both"/>
      </w:pPr>
      <w:r>
        <w:rPr>
          <w:rFonts w:ascii="Calibri" w:cs="Calibri" w:eastAsia="Calibri" w:hAnsi="Calibri"/>
          <w:color w:val="3A4A61"/>
          <w:sz w:val="21"/>
          <w:szCs w:val="21"/>
        </w:rPr>
        <w:t xml:space="preserve">Bu rekabet yasağı sözleşmesi (bundan sonra </w:t>
      </w:r>
      <w:r>
        <w:rPr>
          <w:rFonts w:ascii="Calibri" w:cs="Calibri" w:eastAsia="Calibri" w:hAnsi="Calibri"/>
          <w:b/>
          <w:bCs/>
          <w:color w:val="3A4A61"/>
          <w:sz w:val="21"/>
          <w:szCs w:val="21"/>
        </w:rPr>
        <w:t xml:space="preserve">Sözleşme</w:t>
      </w:r>
      <w:r>
        <w:rPr>
          <w:rFonts w:ascii="Calibri" w:cs="Calibri" w:eastAsia="Calibri" w:hAnsi="Calibri"/>
          <w:color w:val="3A4A61"/>
          <w:sz w:val="21"/>
          <w:szCs w:val="21"/>
        </w:rPr>
        <w:t xml:space="preserve">), aşağıda bilgileri yer alan işveren (bundan sonra </w:t>
      </w:r>
      <w:r>
        <w:rPr>
          <w:rFonts w:ascii="Calibri" w:cs="Calibri" w:eastAsia="Calibri" w:hAnsi="Calibri"/>
          <w:b/>
          <w:bCs/>
          <w:color w:val="3A4A61"/>
          <w:sz w:val="21"/>
          <w:szCs w:val="21"/>
        </w:rPr>
        <w:t xml:space="preserve">İşveren</w:t>
      </w:r>
      <w:r>
        <w:rPr>
          <w:rFonts w:ascii="Calibri" w:cs="Calibri" w:eastAsia="Calibri" w:hAnsi="Calibri"/>
          <w:color w:val="3A4A61"/>
          <w:sz w:val="21"/>
          <w:szCs w:val="21"/>
        </w:rPr>
        <w:t xml:space="preserve">) ile işçi (bundan sonra </w:t>
      </w:r>
      <w:r>
        <w:rPr>
          <w:rFonts w:ascii="Calibri" w:cs="Calibri" w:eastAsia="Calibri" w:hAnsi="Calibri"/>
          <w:b/>
          <w:bCs/>
          <w:color w:val="3A4A61"/>
          <w:sz w:val="21"/>
          <w:szCs w:val="21"/>
        </w:rPr>
        <w:t xml:space="preserve">İşçi</w:t>
      </w:r>
      <w:r>
        <w:rPr>
          <w:rFonts w:ascii="Calibri" w:cs="Calibri" w:eastAsia="Calibri" w:hAnsi="Calibri"/>
          <w:color w:val="3A4A61"/>
          <w:sz w:val="21"/>
          <w:szCs w:val="21"/>
        </w:rPr>
        <w:t xml:space="preserve">) arasında, taraflar arasındaki </w:t>
      </w:r>
      <w:r>
        <w:rPr>
          <w:rFonts w:ascii="Calibri" w:cs="Calibri" w:eastAsia="Calibri" w:hAnsi="Calibri"/>
          <w:b/>
          <w:bCs/>
          <w:color w:val="3A4A61"/>
          <w:sz w:val="21"/>
          <w:szCs w:val="21"/>
        </w:rPr>
        <w:t xml:space="preserve">[Tarih]</w:t>
      </w:r>
      <w:r>
        <w:rPr>
          <w:rFonts w:ascii="Calibri" w:cs="Calibri" w:eastAsia="Calibri" w:hAnsi="Calibri"/>
          <w:color w:val="3A4A61"/>
          <w:sz w:val="21"/>
          <w:szCs w:val="21"/>
        </w:rPr>
        <w:t xml:space="preserve"> tarihli iş sözleşmesinin eki ve tamamlayıcı parçası olarak düzenlenmiştir.</w:t>
      </w:r>
    </w:p>
    <w:p>
      <w:pPr>
        <w:spacing w:after="120" w:before="0" w:line="300"/>
        <w:jc w:val="both"/>
      </w:pPr>
      <w:r>
        <w:rPr>
          <w:rFonts w:ascii="Calibri" w:cs="Calibri" w:eastAsia="Calibri" w:hAnsi="Calibri"/>
          <w:b/>
          <w:bCs/>
          <w:color w:val="3A4A61"/>
          <w:sz w:val="21"/>
          <w:szCs w:val="21"/>
        </w:rPr>
        <w:t xml:space="preserve">İşveren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[İşveren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Faaliyet Konusu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[Ana faaliyet alanı]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Yetkili Temsilci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 / Unvan]</w:t>
            </w:r>
          </w:p>
        </w:tc>
      </w:tr>
    </w:tbl>
    <w:p>
      <w:pPr>
        <w:spacing w:after="120" w:before="0"/>
      </w:pPr>
    </w:p>
    <w:p>
      <w:pPr>
        <w:spacing w:after="120" w:before="0" w:line="300"/>
        <w:jc w:val="both"/>
      </w:pPr>
      <w:r>
        <w:rPr>
          <w:rFonts w:ascii="Calibri" w:cs="Calibri" w:eastAsia="Calibri" w:hAnsi="Calibri"/>
          <w:b/>
          <w:bCs/>
          <w:color w:val="3A4A61"/>
          <w:sz w:val="21"/>
          <w:szCs w:val="21"/>
        </w:rPr>
        <w:t xml:space="preserve">İşçi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[T.C. Kimlik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Görevi / Unvanı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[Unvan]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[İşçi Adresi]</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Amaç ve Hukuki Dayanak</w:t>
      </w:r>
    </w:p>
    <w:p>
      <w:pPr>
        <w:spacing w:after="120" w:before="0" w:line="300"/>
        <w:jc w:val="both"/>
      </w:pPr>
      <w:r>
        <w:rPr>
          <w:rFonts w:ascii="Calibri" w:cs="Calibri" w:eastAsia="Calibri" w:hAnsi="Calibri"/>
          <w:color w:val="3A4A61"/>
          <w:sz w:val="21"/>
          <w:szCs w:val="21"/>
        </w:rPr>
        <w:t xml:space="preserve">Sözleşmenin amacı, İşçinin görevi gereği eriştiği müşteri çevresi, üretim sırları ve İşveren'in işlerine ilişkin gizli bilgilerin, iş ilişkisinin sona ermesinden sonra İşveren'in önemli bir zararına yol açacak şekilde rakip faaliyetlerde kullanılmasını önlemek; bunu yaparken İşçinin ekonomik geleceğini hakkaniyete aykırı biçimde tehlikeye sokmamaktır.</w:t>
      </w:r>
    </w:p>
    <w:p>
      <w:pPr>
        <w:spacing w:after="120" w:before="0" w:line="300"/>
        <w:jc w:val="both"/>
      </w:pPr>
      <w:r>
        <w:rPr>
          <w:rFonts w:ascii="Calibri" w:cs="Calibri" w:eastAsia="Calibri" w:hAnsi="Calibri"/>
          <w:color w:val="3A4A61"/>
          <w:sz w:val="21"/>
          <w:szCs w:val="21"/>
        </w:rPr>
        <w:t xml:space="preserve">Sözleşme, 6098 sayılı Türk Borçlar Kanunu'nun (bundan sonra </w:t>
      </w:r>
      <w:r>
        <w:rPr>
          <w:rFonts w:ascii="Calibri" w:cs="Calibri" w:eastAsia="Calibri" w:hAnsi="Calibri"/>
          <w:b/>
          <w:bCs/>
          <w:color w:val="3A4A61"/>
          <w:sz w:val="21"/>
          <w:szCs w:val="21"/>
        </w:rPr>
        <w:t xml:space="preserve">TBK</w:t>
      </w:r>
      <w:r>
        <w:rPr>
          <w:rFonts w:ascii="Calibri" w:cs="Calibri" w:eastAsia="Calibri" w:hAnsi="Calibri"/>
          <w:color w:val="3A4A61"/>
          <w:sz w:val="21"/>
          <w:szCs w:val="21"/>
        </w:rPr>
        <w:t xml:space="preserve">) 444 ilâ 447. maddelerine dayanır. Bu hükümlere göre rekabet yasağı; fiil ehliyetine sahip işçi ile </w:t>
      </w:r>
      <w:r>
        <w:rPr>
          <w:rFonts w:ascii="Calibri" w:cs="Calibri" w:eastAsia="Calibri" w:hAnsi="Calibri"/>
          <w:b/>
          <w:bCs/>
          <w:color w:val="3A4A61"/>
          <w:sz w:val="21"/>
          <w:szCs w:val="21"/>
        </w:rPr>
        <w:t xml:space="preserve">yazılı</w:t>
      </w:r>
      <w:r>
        <w:rPr>
          <w:rFonts w:ascii="Calibri" w:cs="Calibri" w:eastAsia="Calibri" w:hAnsi="Calibri"/>
          <w:color w:val="3A4A61"/>
          <w:sz w:val="21"/>
          <w:szCs w:val="21"/>
        </w:rPr>
        <w:t xml:space="preserve"> olarak yapılmalı, işçinin müşteri çevresi veya üretim sırları ya da işverenin işleri hakkında bilgi edinme imkânı bulunmalı ve bu bilgilerin kullanılması işverenin önemli bir zararına sebep olabilecek nitelikte olmalıdır. Yasak; yer, zaman ve işin türü bakımından uygun şekilde sınırlandırılır ve özel durumlar dışında </w:t>
      </w:r>
      <w:r>
        <w:rPr>
          <w:rFonts w:ascii="Calibri" w:cs="Calibri" w:eastAsia="Calibri" w:hAnsi="Calibri"/>
          <w:b/>
          <w:bCs/>
          <w:color w:val="3A4A61"/>
          <w:sz w:val="21"/>
          <w:szCs w:val="21"/>
        </w:rPr>
        <w:t xml:space="preserve">iki yılı aşamaz</w:t>
      </w:r>
      <w:r>
        <w:rPr>
          <w:rFonts w:ascii="Calibri" w:cs="Calibri" w:eastAsia="Calibri" w:hAnsi="Calibri"/>
          <w:color w:val="3A4A61"/>
          <w:sz w:val="21"/>
          <w:szCs w:val="21"/>
        </w:rPr>
        <w:t xml:space="preserve">.</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İşçinin Eriştiği Bilgiler</w:t>
      </w:r>
    </w:p>
    <w:p>
      <w:pPr>
        <w:spacing w:after="120" w:before="0" w:line="300"/>
        <w:jc w:val="both"/>
      </w:pPr>
      <w:r>
        <w:rPr>
          <w:rFonts w:ascii="Calibri" w:cs="Calibri" w:eastAsia="Calibri" w:hAnsi="Calibri"/>
          <w:color w:val="3A4A61"/>
          <w:sz w:val="21"/>
          <w:szCs w:val="21"/>
        </w:rPr>
        <w:t xml:space="preserve">Taraflar, İşçinin görevi nedeniyle aşağıda işaretlenen bilgi ve ilişkilere erişim imkânı bulunduğunu ve bu bilgilerin rakip bir faaliyette kullanılmasının İşveren'e önemli zarar verebileceğini kabul eder: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Müşteri listeleri, müşteri iletişim bilgileri ve müşteri ile yapılan ticari koşullar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Fiyatlandırma, maliyet, teklif ve ihale bilgileri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Üretim yöntemleri, formüller, teknik çizimler, yazılım kaynak kodları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Tedarikçi ilişkileri ve satın alma koşulları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Stratejik plan, yatırım, yeni ürün ve pazarlama planları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Yasağın Konusu (İşin Türü)</w:t>
      </w:r>
    </w:p>
    <w:p>
      <w:pPr>
        <w:spacing w:after="120" w:before="0" w:line="300"/>
        <w:jc w:val="both"/>
      </w:pPr>
      <w:r>
        <w:rPr>
          <w:rFonts w:ascii="Calibri" w:cs="Calibri" w:eastAsia="Calibri" w:hAnsi="Calibri"/>
          <w:color w:val="3A4A61"/>
          <w:sz w:val="21"/>
          <w:szCs w:val="21"/>
        </w:rPr>
        <w:t xml:space="preserve">İşçi, iş sözleşmesinin herhangi bir nedenle sona ermesinden itibaren aşağıdaki süre ve bölge içinde, İşveren'in faaliyet gösterdiği </w:t>
      </w:r>
      <w:r>
        <w:rPr>
          <w:rFonts w:ascii="Calibri" w:cs="Calibri" w:eastAsia="Calibri" w:hAnsi="Calibri"/>
          <w:b/>
          <w:bCs/>
          <w:color w:val="3A4A61"/>
          <w:sz w:val="21"/>
          <w:szCs w:val="21"/>
        </w:rPr>
        <w:t xml:space="preserve">[faaliyet alanı / ürün ve hizmet grubu]</w:t>
      </w:r>
      <w:r>
        <w:rPr>
          <w:rFonts w:ascii="Calibri" w:cs="Calibri" w:eastAsia="Calibri" w:hAnsi="Calibri"/>
          <w:color w:val="3A4A61"/>
          <w:sz w:val="21"/>
          <w:szCs w:val="21"/>
        </w:rPr>
        <w:t xml:space="preserve"> alanında:</w:t>
      </w:r>
    </w:p>
    <w:p>
      <w:pPr>
        <w:pStyle w:val="ListParagraph"/>
        <w:numPr>
          <w:ilvl w:val="0"/>
          <w:numId w:val="2"/>
        </w:numPr>
        <w:spacing w:after="80" w:line="290"/>
      </w:pPr>
      <w:r>
        <w:rPr>
          <w:rFonts w:ascii="Calibri" w:cs="Calibri" w:eastAsia="Calibri" w:hAnsi="Calibri"/>
          <w:color w:val="3A4A61"/>
          <w:sz w:val="21"/>
          <w:szCs w:val="21"/>
        </w:rPr>
        <w:t xml:space="preserve">İşveren ile doğrudan rekabet eden bir işletmede, </w:t>
      </w:r>
      <w:r>
        <w:rPr>
          <w:rFonts w:ascii="Calibri" w:cs="Calibri" w:eastAsia="Calibri" w:hAnsi="Calibri"/>
          <w:b/>
          <w:bCs/>
          <w:color w:val="3A4A61"/>
          <w:sz w:val="21"/>
          <w:szCs w:val="21"/>
        </w:rPr>
        <w:t xml:space="preserve">[pozisyon / görev türü]</w:t>
      </w:r>
      <w:r>
        <w:rPr>
          <w:rFonts w:ascii="Calibri" w:cs="Calibri" w:eastAsia="Calibri" w:hAnsi="Calibri"/>
          <w:color w:val="3A4A61"/>
          <w:sz w:val="21"/>
          <w:szCs w:val="21"/>
        </w:rPr>
        <w:t xml:space="preserve"> niteliğindeki görevlerde ücretli veya ücretsiz çalışmamayı,</w:t>
      </w:r>
    </w:p>
    <w:p>
      <w:pPr>
        <w:pStyle w:val="ListParagraph"/>
        <w:numPr>
          <w:ilvl w:val="0"/>
          <w:numId w:val="2"/>
        </w:numPr>
        <w:spacing w:after="80" w:line="290"/>
      </w:pPr>
      <w:r>
        <w:rPr>
          <w:rFonts w:ascii="Calibri" w:cs="Calibri" w:eastAsia="Calibri" w:hAnsi="Calibri"/>
          <w:color w:val="3A4A61"/>
          <w:sz w:val="21"/>
          <w:szCs w:val="21"/>
        </w:rPr>
        <w:t xml:space="preserve">İşveren ile rekabet eden bir işletme kurmamayı, böyle bir işletmeye ortak olmamayı veya yönetiminde görev almamayı,</w:t>
      </w:r>
    </w:p>
    <w:p>
      <w:pPr>
        <w:pStyle w:val="ListParagraph"/>
        <w:numPr>
          <w:ilvl w:val="0"/>
          <w:numId w:val="2"/>
        </w:numPr>
        <w:spacing w:after="80" w:line="290"/>
      </w:pPr>
      <w:r>
        <w:rPr>
          <w:rFonts w:ascii="Calibri" w:cs="Calibri" w:eastAsia="Calibri" w:hAnsi="Calibri"/>
          <w:color w:val="3A4A61"/>
          <w:sz w:val="21"/>
          <w:szCs w:val="21"/>
        </w:rPr>
        <w:t xml:space="preserve">İşveren'in iş sözleşmesinin sona erdiği tarihten önceki </w:t>
      </w:r>
      <w:r>
        <w:rPr>
          <w:rFonts w:ascii="Calibri" w:cs="Calibri" w:eastAsia="Calibri" w:hAnsi="Calibri"/>
          <w:b/>
          <w:bCs/>
          <w:color w:val="3A4A61"/>
          <w:sz w:val="21"/>
          <w:szCs w:val="21"/>
        </w:rPr>
        <w:t xml:space="preserve">[süre]</w:t>
      </w:r>
      <w:r>
        <w:rPr>
          <w:rFonts w:ascii="Calibri" w:cs="Calibri" w:eastAsia="Calibri" w:hAnsi="Calibri"/>
          <w:color w:val="3A4A61"/>
          <w:sz w:val="21"/>
          <w:szCs w:val="21"/>
        </w:rPr>
        <w:t xml:space="preserve"> içinde hizmet verdiği müşterilerine, aynı ürün ve hizmetler için doğrudan veya dolaylı teklif yapmamayı,</w:t>
      </w:r>
    </w:p>
    <w:p>
      <w:pPr>
        <w:pStyle w:val="ListParagraph"/>
        <w:numPr>
          <w:ilvl w:val="0"/>
          <w:numId w:val="2"/>
        </w:numPr>
        <w:spacing w:after="80" w:line="290"/>
      </w:pPr>
      <w:r>
        <w:rPr>
          <w:rFonts w:ascii="Calibri" w:cs="Calibri" w:eastAsia="Calibri" w:hAnsi="Calibri"/>
          <w:color w:val="3A4A61"/>
          <w:sz w:val="21"/>
          <w:szCs w:val="21"/>
        </w:rPr>
        <w:t xml:space="preserve">Rakip faaliyet amacıyla İşveren'in çalışanlarını işten ayrılmaya yönlendirmemeyi taahhüt eder.</w:t>
      </w:r>
    </w:p>
    <w:p>
      <w:pPr>
        <w:spacing w:after="120" w:before="0" w:line="300"/>
        <w:jc w:val="both"/>
      </w:pPr>
      <w:r>
        <w:rPr>
          <w:rFonts w:ascii="Calibri" w:cs="Calibri" w:eastAsia="Calibri" w:hAnsi="Calibri"/>
          <w:color w:val="3A4A61"/>
          <w:sz w:val="21"/>
          <w:szCs w:val="21"/>
        </w:rPr>
        <w:t xml:space="preserve">Yasak, yalnızca yukarıda belirtilen faaliyet alanıyla sınırlıdır. İşçinin mesleki bilgi ve deneyimini, İşveren ile rekabet etmeyen alanlarda ve sektörlerde kullanmasını engellemez.</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Yasağın Süresi ve Coğrafi Kapsamı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Yasak Süresi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[ay]</w:t>
            </w:r>
            <w:r>
              <w:rPr>
                <w:rFonts w:ascii="Calibri" w:cs="Calibri" w:eastAsia="Calibri" w:hAnsi="Calibri"/>
                <w:color w:val="3A4A61"/>
                <w:sz w:val="20"/>
                <w:szCs w:val="20"/>
              </w:rPr>
              <w:t xml:space="preserve"> ay (iş sözleşmesinin sona erdiği tarihten itibaren)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Coğrafi Kapsam</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[İl / bölge adları]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Kapsam Dışı Bırakılan Alanlar</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[varsa]</w:t>
            </w:r>
          </w:p>
        </w:tc>
      </w:tr>
    </w:tbl>
    <w:p>
      <w:pPr>
        <w:spacing w:after="120" w:before="0"/>
      </w:pPr>
    </w:p>
    <w:p>
      <w:pPr>
        <w:spacing w:after="120" w:before="0" w:line="300"/>
        <w:jc w:val="both"/>
      </w:pPr>
      <w:r>
        <w:rPr>
          <w:rFonts w:ascii="Calibri" w:cs="Calibri" w:eastAsia="Calibri" w:hAnsi="Calibri"/>
          <w:color w:val="3A4A61"/>
          <w:sz w:val="21"/>
          <w:szCs w:val="21"/>
        </w:rPr>
        <w:t xml:space="preserve">Yasak süresi, TBK md. 445 uyarınca özel durumlar dışında iki yılı aşmayacak şekilde belirlenmiştir. Coğrafi kapsam, İşveren'in fiilen faaliyet gösterdiği ve İşçinin görevi gereği temas ettiği bölgelerle sınırlıdır. Taraflar, aşırı nitelikteki bir rekabet yasağının hâkim tarafından bütün durum ve koşullar serbestçe değerlendirilerek ve İşveren'in üstlendiği karşı edim de hakkaniyete uygun olarak göz önünde tutularak kapsamı veya süresi bakımından sınırlandırılabileceğini bilmektedir (TBK md. 445).</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Karşı Edim (İsteğe Bağlı)</w:t>
      </w:r>
    </w:p>
    <w:p>
      <w:pPr>
        <w:spacing w:after="120" w:before="0" w:line="300"/>
        <w:jc w:val="both"/>
      </w:pPr>
      <w:r>
        <w:rPr>
          <w:rFonts w:ascii="Calibri" w:cs="Calibri" w:eastAsia="Calibri" w:hAnsi="Calibri"/>
          <w:color w:val="3A4A61"/>
          <w:sz w:val="21"/>
          <w:szCs w:val="21"/>
        </w:rPr>
        <w:t xml:space="preserve">Yasak süresi boyunca İşveren, İşçinin ekonomik geleceğinin korunması amacıyla İşçiye aşağıdaki ödemeyi yapar. Bu madde kullanılmayacaksa </w:t>
      </w:r>
      <w:r>
        <w:rPr>
          <w:rFonts w:ascii="Calibri" w:cs="Calibri" w:eastAsia="Calibri" w:hAnsi="Calibri"/>
          <w:b/>
          <w:bCs/>
          <w:color w:val="3A4A61"/>
          <w:sz w:val="21"/>
          <w:szCs w:val="21"/>
        </w:rPr>
        <w:t xml:space="preserve">uygulanmaz</w:t>
      </w:r>
      <w:r>
        <w:rPr>
          <w:rFonts w:ascii="Calibri" w:cs="Calibri" w:eastAsia="Calibri" w:hAnsi="Calibri"/>
          <w:color w:val="3A4A61"/>
          <w:sz w:val="21"/>
          <w:szCs w:val="21"/>
        </w:rPr>
        <w:t xml:space="preserve"> olarak işaretlenir: ☐</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Ödeme Tutarı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[Tutar]</w:t>
            </w:r>
            <w:r>
              <w:rPr>
                <w:rFonts w:ascii="Calibri" w:cs="Calibri" w:eastAsia="Calibri" w:hAnsi="Calibri"/>
                <w:color w:val="3A4A61"/>
                <w:sz w:val="20"/>
                <w:szCs w:val="20"/>
              </w:rPr>
              <w:t xml:space="preserve"> TL / ay (brüt)</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Ödeme Şekli ve Günü</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[Her ayın ... günü, banka hesabına]</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Ödemenin Sona Ermesi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[Yasak süresinin bitimi veya yasağın sona ermesi]</w:t>
            </w:r>
          </w:p>
        </w:tc>
      </w:tr>
    </w:tbl>
    <w:p>
      <w:pPr>
        <w:spacing w:after="120" w:before="0"/>
      </w:pPr>
    </w:p>
    <w:p>
      <w:pPr>
        <w:spacing w:after="120" w:before="0" w:line="300"/>
        <w:jc w:val="both"/>
      </w:pPr>
      <w:r>
        <w:rPr>
          <w:rFonts w:ascii="Calibri" w:cs="Calibri" w:eastAsia="Calibri" w:hAnsi="Calibri"/>
          <w:color w:val="3A4A61"/>
          <w:sz w:val="21"/>
          <w:szCs w:val="21"/>
        </w:rPr>
        <w:t xml:space="preserve">Karşı edim, iş sözleşmesi sona erdikten sonra yapılan bir ödeme olup vergi ve diğer yasal yükümlülükler mevzuata göre uygulanır.</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Aykırılığın Sonuçları ve Cezai Şart</w:t>
      </w:r>
    </w:p>
    <w:p>
      <w:pPr>
        <w:spacing w:after="120" w:before="0" w:line="300"/>
        <w:jc w:val="both"/>
      </w:pPr>
      <w:r>
        <w:rPr>
          <w:rFonts w:ascii="Calibri" w:cs="Calibri" w:eastAsia="Calibri" w:hAnsi="Calibri"/>
          <w:color w:val="3A4A61"/>
          <w:sz w:val="21"/>
          <w:szCs w:val="21"/>
        </w:rPr>
        <w:t xml:space="preserve">İşçi, rekabet yasağına aykırı davranması halinde İşveren'in bu nedenle uğradığı zararı gidermekle yükümlüdür. Taraflar ayrıca aykırılık halinde ödenmek üzere </w:t>
      </w:r>
      <w:r>
        <w:rPr>
          <w:rFonts w:ascii="Calibri" w:cs="Calibri" w:eastAsia="Calibri" w:hAnsi="Calibri"/>
          <w:b/>
          <w:bCs/>
          <w:color w:val="3A4A61"/>
          <w:sz w:val="21"/>
          <w:szCs w:val="21"/>
        </w:rPr>
        <w:t xml:space="preserve">[Tutar] TL</w:t>
      </w:r>
      <w:r>
        <w:rPr>
          <w:rFonts w:ascii="Calibri" w:cs="Calibri" w:eastAsia="Calibri" w:hAnsi="Calibri"/>
          <w:color w:val="3A4A61"/>
          <w:sz w:val="21"/>
          <w:szCs w:val="21"/>
        </w:rPr>
        <w:t xml:space="preserve"> cezai şart kararlaştırmıştır. Cezai şart tutarı belirlenirken İşçinin ücreti ve yasağın kapsamı dikkate alınmış olup, aşırı cezai şartların hâkim tarafından indirilebileceği taraflarca bilinmektedir.</w:t>
      </w:r>
    </w:p>
    <w:p>
      <w:pPr>
        <w:spacing w:after="120" w:before="0" w:line="300"/>
        <w:jc w:val="both"/>
      </w:pPr>
      <w:r>
        <w:rPr>
          <w:rFonts w:ascii="Calibri" w:cs="Calibri" w:eastAsia="Calibri" w:hAnsi="Calibri"/>
          <w:color w:val="3A4A61"/>
          <w:sz w:val="21"/>
          <w:szCs w:val="21"/>
        </w:rPr>
        <w:t xml:space="preserve">TBK md. 446 uyarınca, aksi kararlaştırılmadıkça İşçi cezai şartı ödeyerek rekabet yasağına ilişkin borcundan kurtulabilir; ancak İşçi, cezai şartı aşan zararı da gidermekle yükümlüdür. Taraflar aşağıdaki seçeneği kabul eder: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Cezai şartın ödenmesi ile İşçi yasaktan kurtulur (kanuni kural).</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İşveren, cezai şart ve zararın tazmini yanında, ihlal edilen menfaatinin önemi ile İşçinin davranışı haklı kılıyorsa aykırılığa son verilmesini de isteyebilir (yazılı özel anlaşma).</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Yasağın Sona Ermesi</w:t>
      </w:r>
    </w:p>
    <w:p>
      <w:pPr>
        <w:spacing w:after="120" w:before="0" w:line="300"/>
        <w:jc w:val="both"/>
      </w:pPr>
      <w:r>
        <w:rPr>
          <w:rFonts w:ascii="Calibri" w:cs="Calibri" w:eastAsia="Calibri" w:hAnsi="Calibri"/>
          <w:color w:val="3A4A61"/>
          <w:sz w:val="21"/>
          <w:szCs w:val="21"/>
        </w:rPr>
        <w:t xml:space="preserve">TBK md. 447 uyarınca rekabet yasağı, İşveren'in yasağın sürdürülmesinde gerçek bir yararının bulunmadığı sabit olursa sona erer. Ayrıca İşveren iş sözleşmesini haklı bir sebep olmaksızın feshederse veya İşçi iş sözleşmesini İşveren'e yüklenebilen haklı bir sebeple feshederse rekabet yasağı sona erer.</w:t>
      </w:r>
    </w:p>
    <w:p>
      <w:pPr>
        <w:spacing w:after="120" w:before="0" w:line="300"/>
        <w:jc w:val="both"/>
      </w:pPr>
      <w:r>
        <w:rPr>
          <w:rFonts w:ascii="Calibri" w:cs="Calibri" w:eastAsia="Calibri" w:hAnsi="Calibri"/>
          <w:color w:val="3A4A61"/>
          <w:sz w:val="21"/>
          <w:szCs w:val="21"/>
        </w:rPr>
        <w:t xml:space="preserve">İşveren, yasağın sürdürülmesinde artık yararı bulunmadığını değerlendirirse, İşçiye yazılı bildirimde bulunarak yasaktan vazgeçebilir. Bu durumda, varsa karşı edim ödemesinin akıbeti bildirimde açıkça belirtilir: </w:t>
      </w:r>
      <w:r>
        <w:rPr>
          <w:rFonts w:ascii="Calibri" w:cs="Calibri" w:eastAsia="Calibri" w:hAnsi="Calibri"/>
          <w:b/>
          <w:bCs/>
          <w:color w:val="3A4A61"/>
          <w:sz w:val="21"/>
          <w:szCs w:val="21"/>
        </w:rPr>
        <w:t xml:space="preserve">[Vazgeçme halinde karşı edim ödemesi ... tarihinde sona erer]</w:t>
      </w:r>
      <w:r>
        <w:rPr>
          <w:rFonts w:ascii="Calibri" w:cs="Calibri" w:eastAsia="Calibri" w:hAnsi="Calibri"/>
          <w:color w:val="3A4A61"/>
          <w:sz w:val="21"/>
          <w:szCs w:val="21"/>
        </w:rPr>
        <w:t xml:space="preserve">.</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Gizlilik Yükümlülüğü ile İlişkisi</w:t>
      </w:r>
    </w:p>
    <w:p>
      <w:pPr>
        <w:spacing w:after="120" w:before="0" w:line="300"/>
        <w:jc w:val="both"/>
      </w:pPr>
      <w:r>
        <w:rPr>
          <w:rFonts w:ascii="Calibri" w:cs="Calibri" w:eastAsia="Calibri" w:hAnsi="Calibri"/>
          <w:color w:val="3A4A61"/>
          <w:sz w:val="21"/>
          <w:szCs w:val="21"/>
        </w:rPr>
        <w:t xml:space="preserve">Rekabet yasağının sona ermesi veya hükümsüz sayılması, İşçinin ticari sır ve gizli bilgilere ilişkin sır saklama yükümlülüğünü ortadan kaldırmaz. Gizlilik yükümlülüğü, İşveren'in haklı menfaatinin korunması için gerekli olduğu ölçüde iş ilişkisinin sona ermesinden sonra da devam eder ve ayrı bir gizlilik sözleşmesiyle düzenlenebilir.</w:t>
      </w:r>
    </w:p>
    <w:p>
      <w:pPr>
        <w:keepNext/>
        <w:pBdr>
          <w:bottom w:val="single" w:color="DCE4EE" w:sz="6" w:space="4"/>
        </w:pBdr>
        <w:spacing w:before="280" w:after="120"/>
      </w:pPr>
      <w:r>
        <w:rPr>
          <w:rFonts w:ascii="Calibri" w:cs="Calibri" w:eastAsia="Calibri" w:hAnsi="Calibri"/>
          <w:b/>
          <w:bCs/>
          <w:color w:val="13B8A7"/>
          <w:sz w:val="25"/>
          <w:szCs w:val="25"/>
        </w:rPr>
        <w:t xml:space="preserve">10. </w:t>
      </w:r>
      <w:r>
        <w:rPr>
          <w:rFonts w:ascii="Calibri" w:cs="Calibri" w:eastAsia="Calibri" w:hAnsi="Calibri"/>
          <w:b/>
          <w:bCs/>
          <w:color w:val="0E2849"/>
          <w:sz w:val="25"/>
          <w:szCs w:val="25"/>
        </w:rPr>
        <w:t xml:space="preserve">Bildirim Yükümlülüğü</w:t>
      </w:r>
    </w:p>
    <w:p>
      <w:pPr>
        <w:spacing w:after="120" w:before="0" w:line="300"/>
        <w:jc w:val="both"/>
      </w:pPr>
      <w:r>
        <w:rPr>
          <w:rFonts w:ascii="Calibri" w:cs="Calibri" w:eastAsia="Calibri" w:hAnsi="Calibri"/>
          <w:color w:val="3A4A61"/>
          <w:sz w:val="21"/>
          <w:szCs w:val="21"/>
        </w:rPr>
        <w:t xml:space="preserve">İşçi, yasak süresi içinde yeni bir işe başlaması halinde, yeni işin bu Sözleşmenin kapsamına girip girmediğinin değerlendirilebilmesi için işverenin unvanını ve görevinin genel niteliğini, ticari sır niteliğindeki bilgileri açıklamaksızın İşveren'e yazılı olarak bildirmeyi kabul eder.</w:t>
      </w:r>
    </w:p>
    <w:p>
      <w:pPr>
        <w:keepNext/>
        <w:pBdr>
          <w:bottom w:val="single" w:color="DCE4EE" w:sz="6" w:space="4"/>
        </w:pBdr>
        <w:spacing w:before="280" w:after="120"/>
      </w:pPr>
      <w:r>
        <w:rPr>
          <w:rFonts w:ascii="Calibri" w:cs="Calibri" w:eastAsia="Calibri" w:hAnsi="Calibri"/>
          <w:b/>
          <w:bCs/>
          <w:color w:val="13B8A7"/>
          <w:sz w:val="25"/>
          <w:szCs w:val="25"/>
        </w:rPr>
        <w:t xml:space="preserve">11. </w:t>
      </w:r>
      <w:r>
        <w:rPr>
          <w:rFonts w:ascii="Calibri" w:cs="Calibri" w:eastAsia="Calibri" w:hAnsi="Calibri"/>
          <w:b/>
          <w:bCs/>
          <w:color w:val="0E2849"/>
          <w:sz w:val="25"/>
          <w:szCs w:val="25"/>
        </w:rPr>
        <w:t xml:space="preserve">Genel Hükümler</w:t>
      </w:r>
    </w:p>
    <w:p>
      <w:pPr>
        <w:pStyle w:val="ListParagraph"/>
        <w:numPr>
          <w:ilvl w:val="0"/>
          <w:numId w:val="3"/>
        </w:numPr>
        <w:spacing w:after="80" w:line="290"/>
      </w:pPr>
      <w:r>
        <w:rPr>
          <w:rFonts w:ascii="Calibri" w:cs="Calibri" w:eastAsia="Calibri" w:hAnsi="Calibri"/>
          <w:color w:val="3A4A61"/>
          <w:sz w:val="21"/>
          <w:szCs w:val="21"/>
        </w:rPr>
        <w:t xml:space="preserve">Sözleşmede yapılacak değişiklikler yalnızca yazılı olarak ve tarafların imzasıyla geçerlidir.</w:t>
      </w:r>
    </w:p>
    <w:p>
      <w:pPr>
        <w:pStyle w:val="ListParagraph"/>
        <w:numPr>
          <w:ilvl w:val="0"/>
          <w:numId w:val="3"/>
        </w:numPr>
        <w:spacing w:after="80" w:line="290"/>
      </w:pPr>
      <w:r>
        <w:rPr>
          <w:rFonts w:ascii="Calibri" w:cs="Calibri" w:eastAsia="Calibri" w:hAnsi="Calibri"/>
          <w:color w:val="3A4A61"/>
          <w:sz w:val="21"/>
          <w:szCs w:val="21"/>
        </w:rPr>
        <w:t xml:space="preserve">Sözleşmenin herhangi bir hükmünün geçersiz sayılması diğer hükümlerin geçerliliğini etkilemez; geçersiz hüküm, tarafların amacına en yakın geçerli hükümle tamamlanır.</w:t>
      </w:r>
    </w:p>
    <w:p>
      <w:pPr>
        <w:pStyle w:val="ListParagraph"/>
        <w:numPr>
          <w:ilvl w:val="0"/>
          <w:numId w:val="3"/>
        </w:numPr>
        <w:spacing w:after="80" w:line="290"/>
      </w:pPr>
      <w:r>
        <w:rPr>
          <w:rFonts w:ascii="Calibri" w:cs="Calibri" w:eastAsia="Calibri" w:hAnsi="Calibri"/>
          <w:color w:val="3A4A61"/>
          <w:sz w:val="21"/>
          <w:szCs w:val="21"/>
        </w:rPr>
        <w:t xml:space="preserve">Sözleşmede hüküm bulunmayan hallerde TBK ve ilgili mevzuat uygulanır.</w:t>
      </w:r>
    </w:p>
    <w:p>
      <w:pPr>
        <w:pStyle w:val="ListParagraph"/>
        <w:numPr>
          <w:ilvl w:val="0"/>
          <w:numId w:val="3"/>
        </w:numPr>
        <w:spacing w:after="80" w:line="290"/>
      </w:pPr>
      <w:r>
        <w:rPr>
          <w:rFonts w:ascii="Calibri" w:cs="Calibri" w:eastAsia="Calibri" w:hAnsi="Calibri"/>
          <w:color w:val="3A4A61"/>
          <w:sz w:val="21"/>
          <w:szCs w:val="21"/>
        </w:rPr>
        <w:t xml:space="preserve">Uyuşmazlıklarda, dava şartı olarak arabuluculuğun öngörüldüğü hallerde önce arabulucuya başvurulur; aksi halde </w:t>
      </w:r>
      <w:r>
        <w:rPr>
          <w:rFonts w:ascii="Calibri" w:cs="Calibri" w:eastAsia="Calibri" w:hAnsi="Calibri"/>
          <w:b/>
          <w:bCs/>
          <w:color w:val="3A4A61"/>
          <w:sz w:val="21"/>
          <w:szCs w:val="21"/>
        </w:rPr>
        <w:t xml:space="preserve">[İl]</w:t>
      </w:r>
      <w:r>
        <w:rPr>
          <w:rFonts w:ascii="Calibri" w:cs="Calibri" w:eastAsia="Calibri" w:hAnsi="Calibri"/>
          <w:color w:val="3A4A61"/>
          <w:sz w:val="21"/>
          <w:szCs w:val="21"/>
        </w:rPr>
        <w:t xml:space="preserve"> mahkemeleri ve icra daireleri yetkilidir.</w:t>
      </w:r>
    </w:p>
    <w:p>
      <w:pPr>
        <w:keepNext/>
        <w:pBdr>
          <w:bottom w:val="single" w:color="DCE4EE" w:sz="6" w:space="4"/>
        </w:pBdr>
        <w:spacing w:before="280" w:after="120"/>
      </w:pPr>
      <w:r>
        <w:rPr>
          <w:rFonts w:ascii="Calibri" w:cs="Calibri" w:eastAsia="Calibri" w:hAnsi="Calibri"/>
          <w:b/>
          <w:bCs/>
          <w:color w:val="13B8A7"/>
          <w:sz w:val="25"/>
          <w:szCs w:val="25"/>
        </w:rPr>
        <w:t xml:space="preserve">12. </w:t>
      </w:r>
      <w:r>
        <w:rPr>
          <w:rFonts w:ascii="Calibri" w:cs="Calibri" w:eastAsia="Calibri" w:hAnsi="Calibri"/>
          <w:b/>
          <w:bCs/>
          <w:color w:val="0E2849"/>
          <w:sz w:val="25"/>
          <w:szCs w:val="25"/>
        </w:rPr>
        <w:t xml:space="preserve">Yürürlük</w:t>
      </w:r>
    </w:p>
    <w:p>
      <w:pPr>
        <w:spacing w:after="120" w:before="0" w:line="300"/>
        <w:jc w:val="both"/>
      </w:pPr>
      <w:r>
        <w:rPr>
          <w:rFonts w:ascii="Calibri" w:cs="Calibri" w:eastAsia="Calibri" w:hAnsi="Calibri"/>
          <w:color w:val="3A4A61"/>
          <w:sz w:val="21"/>
          <w:szCs w:val="21"/>
        </w:rPr>
        <w:t xml:space="preserve">Sözleşme 12 maddeden ibaret olup taraflarca okunarak, içeriği tartışılıp anlaşılarak </w:t>
      </w:r>
      <w:r>
        <w:rPr>
          <w:rFonts w:ascii="Calibri" w:cs="Calibri" w:eastAsia="Calibri" w:hAnsi="Calibri"/>
          <w:b/>
          <w:bCs/>
          <w:color w:val="3A4A61"/>
          <w:sz w:val="21"/>
          <w:szCs w:val="21"/>
        </w:rPr>
        <w:t xml:space="preserve">[Tarih]</w:t>
      </w:r>
      <w:r>
        <w:rPr>
          <w:rFonts w:ascii="Calibri" w:cs="Calibri" w:eastAsia="Calibri" w:hAnsi="Calibri"/>
          <w:color w:val="3A4A61"/>
          <w:sz w:val="21"/>
          <w:szCs w:val="21"/>
        </w:rPr>
        <w:t xml:space="preserve"> tarihinde iki nüsha halinde imzalanmış ve bir nüshası İşçiye teslim edilmiştir.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İşçi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 · SÖZLEŞME</w:t>
          </w:r>
          <w:r>
            <w:rPr>
              <w:rFonts w:ascii="Calibri" w:cs="Calibri" w:eastAsia="Calibri" w:hAnsi="Calibri"/>
              <w:color w:val="8C9BB0"/>
              <w:sz w:val="16"/>
              <w:szCs w:val="16"/>
            </w:rPr>
            <w:t xml:space="preserve">  ·  Doküman No: [İK-S-05]</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Rekabet Yasağı Sözleşmesi</dc:title>
  <dc:creator>İK Partner</dc:creator>
  <dc:description>Rekabet Yasağı Sözleşmesi — İK Partner (ikpartner.com) ücretsiz İK şablonu</dc:description>
  <cp:lastModifiedBy>Un-named</cp:lastModifiedBy>
  <cp:revision>1</cp:revision>
  <dcterms:created xsi:type="dcterms:W3CDTF">2026-10-12T11:08:16.292Z</dcterms:created>
  <dcterms:modified xsi:type="dcterms:W3CDTF">2026-10-12T11:08:16.292Z</dcterms:modified>
</cp:coreProperties>
</file>

<file path=docProps/custom.xml><?xml version="1.0" encoding="utf-8"?>
<Properties xmlns="http://schemas.openxmlformats.org/officeDocument/2006/custom-properties" xmlns:vt="http://schemas.openxmlformats.org/officeDocument/2006/docPropsVTypes"/>
</file>