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Refakat İzni Talep Formu</w:t>
      </w:r>
    </w:p>
    <w:p>
      <w:pPr>
        <w:pBdr>
          <w:bottom w:val="single" w:color="13B8A7" w:sz="12" w:space="8"/>
        </w:pBdr>
        <w:spacing w:after="220"/>
      </w:pPr>
      <w:r>
        <w:rPr>
          <w:rFonts w:ascii="Calibri" w:cs="Calibri" w:eastAsia="Calibri" w:hAnsi="Calibri"/>
          <w:color w:val="5A6B82"/>
          <w:sz w:val="21"/>
          <w:szCs w:val="21"/>
        </w:rPr>
        <w:t xml:space="preserve">En az %70 engelli veya süreğen hastalığı olan çocuğun tedavisi için yılda 10 güne kadar ücretli izin (İş Kanunu Ek md. 2) talebi ve İK değerlendirmesi.</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Talep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Kanuni refakat izni – engelli veya süreğen hastalığı olan çocuğun tedavisi (İş Kanunu Ek md. 2, ücretli, yılda 10 güne kadar)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yakın için refakat (eş, anne, baba vb.) – şirket izin politikası kapsamında ayrıca değerlendirilir</w:t>
      </w:r>
    </w:p>
    <w:p>
      <w:pPr>
        <w:keepNext/>
        <w:pBdr>
          <w:bottom w:val="single" w:color="DCE4EE" w:sz="6" w:space="4"/>
        </w:pBdr>
        <w:spacing w:before="280" w:after="120"/>
      </w:pPr>
      <w:r>
        <w:rPr>
          <w:rFonts w:ascii="Calibri" w:cs="Calibri" w:eastAsia="Calibri" w:hAnsi="Calibri"/>
          <w:b/>
          <w:bCs/>
          <w:color w:val="0E2849"/>
          <w:sz w:val="25"/>
          <w:szCs w:val="25"/>
        </w:rPr>
        <w:t xml:space="preserve">Çocuk ve Rapor Bilgileri</w:t>
      </w:r>
    </w:p>
    <w:p>
      <w:pPr>
        <w:spacing w:after="120" w:before="0" w:line="300"/>
        <w:jc w:val="both"/>
      </w:pPr>
      <w:r>
        <w:rPr>
          <w:rFonts w:ascii="Calibri" w:cs="Calibri" w:eastAsia="Calibri" w:hAnsi="Calibri"/>
          <w:color w:val="3A4A61"/>
          <w:sz w:val="21"/>
          <w:szCs w:val="21"/>
        </w:rPr>
        <w:t xml:space="preserve">Yalnızca iznin şartlarının kontrolü için gerekli bilgiler istenir. Tanı veya tedavi ayrıntısı yazmayınız.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Çocuğun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Çocuğun Doğum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Raporu Düzenleyen Sağlık Kuruluşu</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 Tarihi / Sayısı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Raporun Geçerlilik Süresi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Rapordaki Durum</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Raporda engel oranı en az %70</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Raporda süreğen hastalık belirtilmiş</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Diğer Ebeveyne İlişkin Beyan</w:t>
      </w:r>
    </w:p>
    <w:p>
      <w:pPr>
        <w:spacing w:after="120" w:before="0" w:line="300"/>
        <w:jc w:val="both"/>
      </w:pPr>
      <w:r>
        <w:rPr>
          <w:rFonts w:ascii="Calibri" w:cs="Calibri" w:eastAsia="Calibri" w:hAnsi="Calibri"/>
          <w:color w:val="3A4A61"/>
          <w:sz w:val="21"/>
          <w:szCs w:val="21"/>
        </w:rPr>
        <w:t xml:space="preserve">Kanuni refakat izni, çalışan ebeveynlerden yalnızca biri tarafından kullanılabilir.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Çocuğun diğer ebeveyni çalışmıyor / yoktur.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ebeveyn çalışıyor; bu yıl için aynı çocuk adına bu izni kullanmamıştır ve kullanmayacaktır.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ebeveynin işvereninden alınan yazı ektedir (talep edilirse).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Diğer Ebeveynin Adı Soyadı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Çalıştığı İşyeri (varsa)</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İzin Talebi</w:t>
      </w:r>
    </w:p>
    <w:p>
      <w:pPr>
        <w:spacing w:after="120" w:before="0" w:line="300"/>
        <w:jc w:val="both"/>
      </w:pPr>
      <w:r>
        <w:rPr>
          <w:rFonts w:ascii="Calibri" w:cs="Calibri" w:eastAsia="Calibri" w:hAnsi="Calibri"/>
          <w:color w:val="3A4A61"/>
          <w:sz w:val="21"/>
          <w:szCs w:val="21"/>
        </w:rPr>
        <w:t xml:space="preserve">İzin bir yıl içinde toptan veya bölümler halinde kullanılabilir.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927"/>
        <w:gridCol w:w="1927"/>
        <w:gridCol w:w="963"/>
        <w:gridCol w:w="2891"/>
        <w:gridCol w:w="1930"/>
      </w:tblGrid>
      <w:tr>
        <w:trPr>
          <w:cantSplit/>
          <w:trHeight w:val="400" w:hRule="atLeast"/>
        </w:trPr>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Başlangıç Tarihi</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Bitiş Tarihi</w:t>
            </w:r>
          </w:p>
        </w:tc>
        <w:tc>
          <w:tcPr>
            <w:tcW w:type="dxa" w:w="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Gün</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Tedavi / Kontrol Yeri (il)</w:t>
            </w:r>
          </w:p>
        </w:tc>
        <w:tc>
          <w:tcPr>
            <w:tcW w:type="dxa" w:w="19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Yönetici Onayı</w:t>
            </w:r>
          </w:p>
        </w:tc>
      </w:tr>
      <w:tr>
        <w:trPr>
          <w:cantSplit/>
          <w:trHeight w:val="380" w:hRule="atLeast"/>
        </w:trPr>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963"/>
            <w:tcMar>
              <w:top w:type="dxa" w:w="60"/>
              <w:left w:type="dxa" w:w="110"/>
              <w:bottom w:type="dxa" w:w="60"/>
              <w:right w:type="dxa" w:w="110"/>
            </w:tcMar>
            <w:vAlign w:val="center"/>
          </w:tcPr>
          <w:p>
            <w:pPr>
              <w:spacing w:before="40" w:after="40"/>
            </w:pPr>
          </w:p>
        </w:tc>
        <w:tc>
          <w:tcPr>
            <w:tcW w:type="dxa" w:w="2891"/>
            <w:tcMar>
              <w:top w:type="dxa" w:w="60"/>
              <w:left w:type="dxa" w:w="110"/>
              <w:bottom w:type="dxa" w:w="60"/>
              <w:right w:type="dxa" w:w="110"/>
            </w:tcMar>
            <w:vAlign w:val="center"/>
          </w:tcPr>
          <w:p>
            <w:pPr>
              <w:spacing w:before="40" w:after="40"/>
            </w:pPr>
          </w:p>
        </w:tc>
        <w:tc>
          <w:tcPr>
            <w:tcW w:type="dxa" w:w="1930"/>
            <w:tcMar>
              <w:top w:type="dxa" w:w="60"/>
              <w:left w:type="dxa" w:w="110"/>
              <w:bottom w:type="dxa" w:w="60"/>
              <w:right w:type="dxa" w:w="110"/>
            </w:tcMar>
            <w:vAlign w:val="center"/>
          </w:tcPr>
          <w:p>
            <w:pPr>
              <w:spacing w:before="40" w:after="40"/>
            </w:pP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963"/>
            <w:shd w:fill="F5F8FB" w:color="auto" w:val="clear"/>
            <w:tcMar>
              <w:top w:type="dxa" w:w="60"/>
              <w:left w:type="dxa" w:w="110"/>
              <w:bottom w:type="dxa" w:w="60"/>
              <w:right w:type="dxa" w:w="110"/>
            </w:tcMar>
            <w:vAlign w:val="center"/>
          </w:tcPr>
          <w:p>
            <w:pPr>
              <w:spacing w:before="40" w:after="40"/>
            </w:pPr>
          </w:p>
        </w:tc>
        <w:tc>
          <w:tcPr>
            <w:tcW w:type="dxa" w:w="2891"/>
            <w:shd w:fill="F5F8FB" w:color="auto" w:val="clear"/>
            <w:tcMar>
              <w:top w:type="dxa" w:w="60"/>
              <w:left w:type="dxa" w:w="110"/>
              <w:bottom w:type="dxa" w:w="60"/>
              <w:right w:type="dxa" w:w="110"/>
            </w:tcMar>
            <w:vAlign w:val="center"/>
          </w:tcPr>
          <w:p>
            <w:pPr>
              <w:spacing w:before="40" w:after="40"/>
            </w:pPr>
          </w:p>
        </w:tc>
        <w:tc>
          <w:tcPr>
            <w:tcW w:type="dxa" w:w="193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963"/>
            <w:tcMar>
              <w:top w:type="dxa" w:w="60"/>
              <w:left w:type="dxa" w:w="110"/>
              <w:bottom w:type="dxa" w:w="60"/>
              <w:right w:type="dxa" w:w="110"/>
            </w:tcMar>
            <w:vAlign w:val="center"/>
          </w:tcPr>
          <w:p>
            <w:pPr>
              <w:spacing w:before="40" w:after="40"/>
            </w:pPr>
          </w:p>
        </w:tc>
        <w:tc>
          <w:tcPr>
            <w:tcW w:type="dxa" w:w="2891"/>
            <w:tcMar>
              <w:top w:type="dxa" w:w="60"/>
              <w:left w:type="dxa" w:w="110"/>
              <w:bottom w:type="dxa" w:w="60"/>
              <w:right w:type="dxa" w:w="110"/>
            </w:tcMar>
            <w:vAlign w:val="center"/>
          </w:tcPr>
          <w:p>
            <w:pPr>
              <w:spacing w:before="40" w:after="40"/>
            </w:pPr>
          </w:p>
        </w:tc>
        <w:tc>
          <w:tcPr>
            <w:tcW w:type="dxa" w:w="1930"/>
            <w:tcMar>
              <w:top w:type="dxa" w:w="60"/>
              <w:left w:type="dxa" w:w="110"/>
              <w:bottom w:type="dxa" w:w="60"/>
              <w:right w:type="dxa" w:w="110"/>
            </w:tcMar>
            <w:vAlign w:val="center"/>
          </w:tcPr>
          <w:p>
            <w:pPr>
              <w:spacing w:before="40" w:after="40"/>
            </w:pP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963"/>
            <w:shd w:fill="F5F8FB" w:color="auto" w:val="clear"/>
            <w:tcMar>
              <w:top w:type="dxa" w:w="60"/>
              <w:left w:type="dxa" w:w="110"/>
              <w:bottom w:type="dxa" w:w="60"/>
              <w:right w:type="dxa" w:w="110"/>
            </w:tcMar>
            <w:vAlign w:val="center"/>
          </w:tcPr>
          <w:p>
            <w:pPr>
              <w:spacing w:before="40" w:after="40"/>
            </w:pPr>
          </w:p>
        </w:tc>
        <w:tc>
          <w:tcPr>
            <w:tcW w:type="dxa" w:w="2891"/>
            <w:shd w:fill="F5F8FB" w:color="auto" w:val="clear"/>
            <w:tcMar>
              <w:top w:type="dxa" w:w="60"/>
              <w:left w:type="dxa" w:w="110"/>
              <w:bottom w:type="dxa" w:w="60"/>
              <w:right w:type="dxa" w:w="110"/>
            </w:tcMar>
            <w:vAlign w:val="center"/>
          </w:tcPr>
          <w:p>
            <w:pPr>
              <w:spacing w:before="40" w:after="40"/>
            </w:pPr>
          </w:p>
        </w:tc>
        <w:tc>
          <w:tcPr>
            <w:tcW w:type="dxa" w:w="1930"/>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Çalışan Beyanı</w:t>
      </w:r>
    </w:p>
    <w:p>
      <w:pPr>
        <w:spacing w:after="120" w:before="0" w:line="300"/>
        <w:jc w:val="both"/>
      </w:pPr>
      <w:r>
        <w:rPr>
          <w:rFonts w:ascii="Calibri" w:cs="Calibri" w:eastAsia="Calibri" w:hAnsi="Calibri"/>
          <w:color w:val="3A4A61"/>
          <w:sz w:val="21"/>
          <w:szCs w:val="21"/>
        </w:rPr>
        <w:t xml:space="preserve">Yukarıdaki bilgilerin doğru olduğunu, izni çocuğumun tedavisine refakat amacıyla kullanacağımı ve tedavi tarihinin değişmesi halinde İK'ya derhal bilgi vereceğimi beyan ederim. Ekli raporun yalnızca bu iznin değerlendirilmesi amacıyla işleneceği konusunda bilgilendirildim.</w:t>
      </w:r>
    </w:p>
    <w:p>
      <w:pPr>
        <w:spacing w:after="120" w:before="0" w:line="300"/>
        <w:jc w:val="both"/>
      </w:pPr>
      <w:r>
        <w:rPr>
          <w:rFonts w:ascii="Calibri" w:cs="Calibri" w:eastAsia="Calibri" w:hAnsi="Calibri"/>
          <w:color w:val="3A4A61"/>
          <w:sz w:val="21"/>
          <w:szCs w:val="21"/>
        </w:rPr>
        <w:t xml:space="preserve">Ekler: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Sağlık raporu (engel oranı veya süreğen hastalığı gösteren)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Tedavi / kontrol randevu belgesi (varsa)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Nüfus kayıt örneği (ebeveynliği gösteren)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ebeveyne ilişkin belge (varsa)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Talep Eden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354"/>
        <w:gridCol w:w="4284"/>
      </w:tblGrid>
      <w:tr>
        <w:trPr>
          <w:cantSplit/>
          <w:trHeight w:val="400" w:hRule="atLeast"/>
        </w:trPr>
        <w:tc>
          <w:tcPr>
            <w:tcW w:type="dxa" w:w="53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428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Rapor şartı (en az %70 engel / süreğen hastalık)</w:t>
            </w:r>
          </w:p>
        </w:tc>
        <w:tc>
          <w:tcPr>
            <w:tcW w:type="dxa" w:w="428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Eksik belge</w:t>
            </w: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Ebeveynlerden yalnızca birinin kullanımı</w:t>
            </w:r>
          </w:p>
        </w:tc>
        <w:tc>
          <w:tcPr>
            <w:tcW w:type="dxa" w:w="428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Beyan alındı  ☐ Teyit edilecek</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yıl daha önce kullanılan gün</w:t>
            </w:r>
          </w:p>
        </w:tc>
        <w:tc>
          <w:tcPr>
            <w:tcW w:type="dxa" w:w="428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w:t>
            </w: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talepte onaylanan gün</w:t>
            </w:r>
          </w:p>
        </w:tc>
        <w:tc>
          <w:tcPr>
            <w:tcW w:type="dxa" w:w="428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Kalan hak (10 - kullanılan)</w:t>
            </w:r>
          </w:p>
        </w:tc>
        <w:tc>
          <w:tcPr>
            <w:tcW w:type="dxa" w:w="428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w:t>
            </w: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Bordroya işlenme</w:t>
            </w:r>
          </w:p>
        </w:tc>
        <w:tc>
          <w:tcPr>
            <w:tcW w:type="dxa" w:w="428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Ücretli izin – </w:t>
            </w:r>
            <w:r>
              <w:rPr>
                <w:rFonts w:ascii="Calibri" w:cs="Calibri" w:eastAsia="Calibri" w:hAnsi="Calibri"/>
                <w:color w:val="1D5888"/>
                <w:sz w:val="19"/>
                <w:szCs w:val="19"/>
                <w:shd w:fill="EAF1F8" w:color="auto" w:val="clear"/>
              </w:rPr>
              <w:t xml:space="preserve">[Ay / Yıl]</w:t>
            </w: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Onaylandı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Belge tamamlanınca onaylanacak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Kanuni izin kapsamında değil – şirket politikasına göre </w:t>
      </w:r>
      <w:r>
        <w:rPr>
          <w:rFonts w:ascii="Calibri" w:cs="Calibri" w:eastAsia="Calibri" w:hAnsi="Calibri"/>
          <w:color w:val="1D5888"/>
          <w:sz w:val="21"/>
          <w:szCs w:val="21"/>
          <w:shd w:fill="EAF1F8" w:color="auto" w:val="clear"/>
        </w:rPr>
        <w:t xml:space="preserve">[yıllık / mazeret / ücretsiz]</w:t>
      </w:r>
      <w:r>
        <w:rPr>
          <w:rFonts w:ascii="Calibri" w:cs="Calibri" w:eastAsia="Calibri" w:hAnsi="Calibri"/>
          <w:color w:val="3A4A61"/>
          <w:sz w:val="21"/>
          <w:szCs w:val="21"/>
        </w:rPr>
        <w:t xml:space="preserve"> izin olarak değerlendirildi</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Ek md. 2 kapsamındaki izin süreleri yıllık izin hakkının hesabında çalışılmış gibi sayılır (md. 55/ı) ve yıllık izne mahsup edilemez (md. 56). İznin "bir yıl" içindeki kullanımının hangi yıl esasına göre izleneceğini (takvim yılı veya hizmet yılı) izin politikasında belirleyiniz.</w:t>
            </w: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KVKK Aydınlatma Notu</w:t>
            </w:r>
          </w:p>
          <w:p>
            <w:pPr>
              <w:spacing w:after="20" w:line="280"/>
            </w:pPr>
            <w:r>
              <w:rPr>
                <w:rFonts w:ascii="Calibri" w:cs="Calibri" w:eastAsia="Calibri" w:hAnsi="Calibri"/>
                <w:color w:val="3A4A61"/>
                <w:sz w:val="19"/>
                <w:szCs w:val="19"/>
              </w:rPr>
              <w:t xml:space="preserve">Sağlık raporu özel nitelikli kişisel veridir (6698 sayılı Kanun md. 6). Rapor yalnızca iznin şartlarını kontrol etmek için alınır, erişimi yetkili İK personeliyle sınırlı tutulur ve ayrı, kilitli bir bölümde saklanır. Rapor içeriği yöneticilerle paylaşılmaz; yöneticiye yalnızca izin tarihleri bildirilir. İşleme dayanağı çalışan aydınlatma metninde belirtilmelidir; açık rızaya dayanan bir işleme yapılacaksa rıza ayrı bir belgeyle alınmalıdır.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[İK-İZ-11]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Refakat İzni Talep Formu</dc:title>
  <dc:creator>İK Partner</dc:creator>
  <dc:description>Refakat İzni Talep Formu — İK Partner (ikpartner.com) ücretsiz İK şablonu</dc:description>
  <cp:lastModifiedBy>Un-named</cp:lastModifiedBy>
  <cp:revision>1</cp:revision>
  <dcterms:created xsi:type="dcterms:W3CDTF">2026-10-13T21:31:05.904Z</dcterms:created>
  <dcterms:modified xsi:type="dcterms:W3CDTF">2026-10-13T21:31:05.904Z</dcterms:modified>
</cp:coreProperties>
</file>

<file path=docProps/custom.xml><?xml version="1.0" encoding="utf-8"?>
<Properties xmlns="http://schemas.openxmlformats.org/officeDocument/2006/custom-properties" xmlns:vt="http://schemas.openxmlformats.org/officeDocument/2006/docPropsVTypes"/>
</file>