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Prim ve İkramiye Ödeme Onay Formu</w:t>
      </w:r>
    </w:p>
    <w:p>
      <w:pPr>
        <w:pBdr>
          <w:bottom w:val="single" w:color="13B8A7" w:sz="12" w:space="8"/>
        </w:pBdr>
        <w:spacing w:after="220"/>
      </w:pPr>
      <w:r>
        <w:rPr>
          <w:rFonts w:ascii="Calibri" w:cs="Calibri" w:eastAsia="Calibri" w:hAnsi="Calibri"/>
          <w:color w:val="5A6B82"/>
          <w:sz w:val="21"/>
          <w:szCs w:val="21"/>
        </w:rPr>
        <w:t xml:space="preserve">Prim, ikramiye ve bonus ödemelerinin dayanağını, hak ediş kriterlerini, çalışan bazında brüt tutarları, bordro kontrollerini ve onay zincirini tek belgede kayda alan form; ekinde çalışana bildirim yazısı.</w:t>
      </w:r>
    </w:p>
    <w:p>
      <w:pPr>
        <w:keepNext/>
        <w:pBdr>
          <w:bottom w:val="single" w:color="DCE4EE" w:sz="6" w:space="4"/>
        </w:pBdr>
        <w:spacing w:before="280" w:after="120"/>
      </w:pPr>
      <w:r>
        <w:rPr>
          <w:rFonts w:ascii="Calibri" w:cs="Calibri" w:eastAsia="Calibri" w:hAnsi="Calibri"/>
          <w:b/>
          <w:bCs/>
          <w:color w:val="0E2849"/>
          <w:sz w:val="25"/>
          <w:szCs w:val="25"/>
        </w:rPr>
        <w:t xml:space="preserve">1. Ödeme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Eden Birim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 Dönemi (ilgili olduğu dönem)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Planlanan Bordro / Ödeme Ayı</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Ödeme türü:</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Satış / hedef primi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Performans bonusu</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Proje tamamlama primi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Dönemsel / yıllık ikramiye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Bayram ikramiyesi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Kâra katılma / teşvik ödemesi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Tek seferlik takdir ödemesi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Dayanak: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sözleşmesi, md. </w:t>
      </w:r>
      <w:r>
        <w:rPr>
          <w:rFonts w:ascii="Calibri" w:cs="Calibri" w:eastAsia="Calibri" w:hAnsi="Calibri"/>
          <w:color w:val="1D5888"/>
          <w:sz w:val="21"/>
          <w:szCs w:val="21"/>
          <w:shd w:fill="EAF1F8" w:color="auto" w:val="clear"/>
        </w:rPr>
        <w:t xml:space="preserve">[__]</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Toplu iş sözleşmesi, md. </w:t>
      </w:r>
      <w:r>
        <w:rPr>
          <w:rFonts w:ascii="Calibri" w:cs="Calibri" w:eastAsia="Calibri" w:hAnsi="Calibri"/>
          <w:color w:val="1D5888"/>
          <w:sz w:val="21"/>
          <w:szCs w:val="21"/>
          <w:shd w:fill="EAF1F8" w:color="auto" w:val="clear"/>
        </w:rPr>
        <w:t xml:space="preserve">[__]</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Prim / ikramiye yönetmeliği, md.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(yürürlük: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Yönetim kurulu / üst yönetim kararı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no: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İşyeri uygulaması (düzenli ödeme geçmişi: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yıl)</w:t>
      </w:r>
    </w:p>
    <w:p>
      <w:pPr>
        <w:spacing w:after="120" w:before="0" w:line="300"/>
        <w:jc w:val="both"/>
      </w:pPr>
      <w:r>
        <w:rPr>
          <w:rFonts w:ascii="Calibri" w:cs="Calibri" w:eastAsia="Calibri" w:hAnsi="Calibri"/>
          <w:color w:val="3A4A61"/>
          <w:sz w:val="21"/>
          <w:szCs w:val="21"/>
        </w:rPr>
        <w:t xml:space="preserve">Ödemenin niteliği: ☐ Sözleşme / yönetmelik gereği hak edilen ödeme   ☐ İşverenin takdirine bağlı, tek seferlik ödeme (gelecek dönemler için taahhüt içermez)</w:t>
      </w:r>
    </w:p>
    <w:p>
      <w:pPr>
        <w:keepNext/>
        <w:pBdr>
          <w:bottom w:val="single" w:color="DCE4EE" w:sz="6" w:space="4"/>
        </w:pBdr>
        <w:spacing w:before="280" w:after="120"/>
      </w:pPr>
      <w:r>
        <w:rPr>
          <w:rFonts w:ascii="Calibri" w:cs="Calibri" w:eastAsia="Calibri" w:hAnsi="Calibri"/>
          <w:b/>
          <w:bCs/>
          <w:color w:val="0E2849"/>
          <w:sz w:val="25"/>
          <w:szCs w:val="25"/>
        </w:rPr>
        <w:t xml:space="preserve">2. Hak Ediş Kriterleri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965"/>
        <w:gridCol w:w="1482"/>
        <w:gridCol w:w="1482"/>
        <w:gridCol w:w="1482"/>
        <w:gridCol w:w="2227"/>
      </w:tblGrid>
      <w:tr>
        <w:trPr>
          <w:cantSplit/>
          <w:trHeight w:val="400" w:hRule="atLeast"/>
        </w:trPr>
        <w:tc>
          <w:tcPr>
            <w:tcW w:type="dxa" w:w="29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Kriter</w:t>
            </w:r>
          </w:p>
        </w:tc>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w:t>
            </w:r>
          </w:p>
        </w:tc>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Gerçekleşen</w:t>
            </w:r>
          </w:p>
        </w:tc>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Ağırlık (%)</w:t>
            </w:r>
          </w:p>
        </w:tc>
        <w:tc>
          <w:tcPr>
            <w:tcW w:type="dxa" w:w="22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Ölçüm Kaynağı</w:t>
            </w:r>
          </w:p>
        </w:tc>
      </w:tr>
      <w:tr>
        <w:trPr>
          <w:cantSplit/>
          <w:trHeight w:val="380" w:hRule="atLeast"/>
        </w:trPr>
        <w:tc>
          <w:tcPr>
            <w:tcW w:type="dxa" w:w="2965"/>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2227"/>
            <w:tcMar>
              <w:top w:type="dxa" w:w="60"/>
              <w:left w:type="dxa" w:w="110"/>
              <w:bottom w:type="dxa" w:w="60"/>
              <w:right w:type="dxa" w:w="110"/>
            </w:tcMar>
            <w:vAlign w:val="center"/>
          </w:tcPr>
          <w:p>
            <w:pPr>
              <w:spacing w:before="40" w:after="40"/>
            </w:pPr>
          </w:p>
        </w:tc>
      </w:tr>
      <w:tr>
        <w:trPr>
          <w:cantSplit/>
          <w:trHeight w:val="380" w:hRule="atLeast"/>
        </w:trPr>
        <w:tc>
          <w:tcPr>
            <w:tcW w:type="dxa" w:w="2965"/>
            <w:shd w:fill="F5F8FB" w:color="auto" w:val="clear"/>
            <w:tcMar>
              <w:top w:type="dxa" w:w="60"/>
              <w:left w:type="dxa" w:w="110"/>
              <w:bottom w:type="dxa" w:w="60"/>
              <w:right w:type="dxa" w:w="110"/>
            </w:tcMar>
            <w:vAlign w:val="center"/>
          </w:tcPr>
          <w:p>
            <w:pPr>
              <w:spacing w:before="40" w:after="40"/>
            </w:pPr>
          </w:p>
        </w:tc>
        <w:tc>
          <w:tcPr>
            <w:tcW w:type="dxa" w:w="1482"/>
            <w:shd w:fill="F5F8FB" w:color="auto" w:val="clear"/>
            <w:tcMar>
              <w:top w:type="dxa" w:w="60"/>
              <w:left w:type="dxa" w:w="110"/>
              <w:bottom w:type="dxa" w:w="60"/>
              <w:right w:type="dxa" w:w="110"/>
            </w:tcMar>
            <w:vAlign w:val="center"/>
          </w:tcPr>
          <w:p>
            <w:pPr>
              <w:spacing w:before="40" w:after="40"/>
            </w:pPr>
          </w:p>
        </w:tc>
        <w:tc>
          <w:tcPr>
            <w:tcW w:type="dxa" w:w="1482"/>
            <w:shd w:fill="F5F8FB" w:color="auto" w:val="clear"/>
            <w:tcMar>
              <w:top w:type="dxa" w:w="60"/>
              <w:left w:type="dxa" w:w="110"/>
              <w:bottom w:type="dxa" w:w="60"/>
              <w:right w:type="dxa" w:w="110"/>
            </w:tcMar>
            <w:vAlign w:val="center"/>
          </w:tcPr>
          <w:p>
            <w:pPr>
              <w:spacing w:before="40" w:after="40"/>
            </w:pPr>
          </w:p>
        </w:tc>
        <w:tc>
          <w:tcPr>
            <w:tcW w:type="dxa" w:w="1482"/>
            <w:shd w:fill="F5F8FB" w:color="auto" w:val="clear"/>
            <w:tcMar>
              <w:top w:type="dxa" w:w="60"/>
              <w:left w:type="dxa" w:w="110"/>
              <w:bottom w:type="dxa" w:w="60"/>
              <w:right w:type="dxa" w:w="110"/>
            </w:tcMar>
            <w:vAlign w:val="center"/>
          </w:tcPr>
          <w:p>
            <w:pPr>
              <w:spacing w:before="40" w:after="40"/>
            </w:pPr>
          </w:p>
        </w:tc>
        <w:tc>
          <w:tcPr>
            <w:tcW w:type="dxa" w:w="222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965"/>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2227"/>
            <w:tcMar>
              <w:top w:type="dxa" w:w="60"/>
              <w:left w:type="dxa" w:w="110"/>
              <w:bottom w:type="dxa" w:w="60"/>
              <w:right w:type="dxa" w:w="110"/>
            </w:tcMar>
            <w:vAlign w:val="center"/>
          </w:tcPr>
          <w:p>
            <w:pPr>
              <w:spacing w:before="40" w:after="40"/>
            </w:pPr>
          </w:p>
        </w:tc>
      </w:tr>
      <w:tr>
        <w:trPr>
          <w:cantSplit/>
          <w:trHeight w:val="380" w:hRule="atLeast"/>
        </w:trPr>
        <w:tc>
          <w:tcPr>
            <w:tcW w:type="dxa" w:w="2965"/>
            <w:shd w:fill="F5F8FB" w:color="auto" w:val="clear"/>
            <w:tcMar>
              <w:top w:type="dxa" w:w="60"/>
              <w:left w:type="dxa" w:w="110"/>
              <w:bottom w:type="dxa" w:w="60"/>
              <w:right w:type="dxa" w:w="110"/>
            </w:tcMar>
            <w:vAlign w:val="center"/>
          </w:tcPr>
          <w:p>
            <w:pPr>
              <w:spacing w:before="40" w:after="40"/>
            </w:pPr>
          </w:p>
        </w:tc>
        <w:tc>
          <w:tcPr>
            <w:tcW w:type="dxa" w:w="1482"/>
            <w:shd w:fill="F5F8FB" w:color="auto" w:val="clear"/>
            <w:tcMar>
              <w:top w:type="dxa" w:w="60"/>
              <w:left w:type="dxa" w:w="110"/>
              <w:bottom w:type="dxa" w:w="60"/>
              <w:right w:type="dxa" w:w="110"/>
            </w:tcMar>
            <w:vAlign w:val="center"/>
          </w:tcPr>
          <w:p>
            <w:pPr>
              <w:spacing w:before="40" w:after="40"/>
            </w:pPr>
          </w:p>
        </w:tc>
        <w:tc>
          <w:tcPr>
            <w:tcW w:type="dxa" w:w="1482"/>
            <w:shd w:fill="F5F8FB" w:color="auto" w:val="clear"/>
            <w:tcMar>
              <w:top w:type="dxa" w:w="60"/>
              <w:left w:type="dxa" w:w="110"/>
              <w:bottom w:type="dxa" w:w="60"/>
              <w:right w:type="dxa" w:w="110"/>
            </w:tcMar>
            <w:vAlign w:val="center"/>
          </w:tcPr>
          <w:p>
            <w:pPr>
              <w:spacing w:before="40" w:after="40"/>
            </w:pPr>
          </w:p>
        </w:tc>
        <w:tc>
          <w:tcPr>
            <w:tcW w:type="dxa" w:w="1482"/>
            <w:shd w:fill="F5F8FB" w:color="auto" w:val="clear"/>
            <w:tcMar>
              <w:top w:type="dxa" w:w="60"/>
              <w:left w:type="dxa" w:w="110"/>
              <w:bottom w:type="dxa" w:w="60"/>
              <w:right w:type="dxa" w:w="110"/>
            </w:tcMar>
            <w:vAlign w:val="center"/>
          </w:tcPr>
          <w:p>
            <w:pPr>
              <w:spacing w:before="40" w:after="40"/>
            </w:pPr>
          </w:p>
        </w:tc>
        <w:tc>
          <w:tcPr>
            <w:tcW w:type="dxa" w:w="2227"/>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Ödemeye esas alınmayan durumlar (yönetmelikte yazılıysa): ☐ Dönem içinde işe giriş / çıkış (kıst hesap)   ☐ Uzun süreli ücretsiz izin / rapor   ☐ Disiplin kaydı   ☐ 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3. Çalışan Bazında Hesap</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88"/>
        <w:gridCol w:w="2753"/>
        <w:gridCol w:w="1376"/>
        <w:gridCol w:w="1376"/>
        <w:gridCol w:w="1376"/>
        <w:gridCol w:w="2069"/>
      </w:tblGrid>
      <w:tr>
        <w:trPr>
          <w:cantSplit/>
          <w:trHeight w:val="400" w:hRule="atLeast"/>
        </w:trPr>
        <w:tc>
          <w:tcPr>
            <w:tcW w:type="dxa" w:w="68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Sıra</w:t>
            </w:r>
          </w:p>
        </w:tc>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Sicil No</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Kriter Sonucu</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Brüt Tutar (TL)</w:t>
            </w:r>
          </w:p>
        </w:tc>
        <w:tc>
          <w:tcPr>
            <w:tcW w:type="dxa" w:w="206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688"/>
            <w:tcMar>
              <w:top w:type="dxa" w:w="60"/>
              <w:left w:type="dxa" w:w="110"/>
              <w:bottom w:type="dxa" w:w="60"/>
              <w:right w:type="dxa" w:w="110"/>
            </w:tcMar>
            <w:vAlign w:val="center"/>
          </w:tcPr>
          <w:p>
            <w:pPr>
              <w:spacing w:before="40" w:after="40"/>
            </w:pPr>
          </w:p>
        </w:tc>
        <w:tc>
          <w:tcPr>
            <w:tcW w:type="dxa" w:w="2753"/>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2069"/>
            <w:tcMar>
              <w:top w:type="dxa" w:w="60"/>
              <w:left w:type="dxa" w:w="110"/>
              <w:bottom w:type="dxa" w:w="60"/>
              <w:right w:type="dxa" w:w="110"/>
            </w:tcMar>
            <w:vAlign w:val="center"/>
          </w:tcPr>
          <w:p>
            <w:pPr>
              <w:spacing w:before="40" w:after="40"/>
            </w:pPr>
          </w:p>
        </w:tc>
      </w:tr>
      <w:tr>
        <w:trPr>
          <w:cantSplit/>
          <w:trHeight w:val="380" w:hRule="atLeast"/>
        </w:trPr>
        <w:tc>
          <w:tcPr>
            <w:tcW w:type="dxa" w:w="688"/>
            <w:shd w:fill="F5F8FB" w:color="auto" w:val="clear"/>
            <w:tcMar>
              <w:top w:type="dxa" w:w="60"/>
              <w:left w:type="dxa" w:w="110"/>
              <w:bottom w:type="dxa" w:w="60"/>
              <w:right w:type="dxa" w:w="110"/>
            </w:tcMar>
            <w:vAlign w:val="center"/>
          </w:tcPr>
          <w:p>
            <w:pPr>
              <w:spacing w:before="40" w:after="40"/>
            </w:pPr>
          </w:p>
        </w:tc>
        <w:tc>
          <w:tcPr>
            <w:tcW w:type="dxa" w:w="2753"/>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20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88"/>
            <w:tcMar>
              <w:top w:type="dxa" w:w="60"/>
              <w:left w:type="dxa" w:w="110"/>
              <w:bottom w:type="dxa" w:w="60"/>
              <w:right w:type="dxa" w:w="110"/>
            </w:tcMar>
            <w:vAlign w:val="center"/>
          </w:tcPr>
          <w:p>
            <w:pPr>
              <w:spacing w:before="40" w:after="40"/>
            </w:pPr>
          </w:p>
        </w:tc>
        <w:tc>
          <w:tcPr>
            <w:tcW w:type="dxa" w:w="2753"/>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2069"/>
            <w:tcMar>
              <w:top w:type="dxa" w:w="60"/>
              <w:left w:type="dxa" w:w="110"/>
              <w:bottom w:type="dxa" w:w="60"/>
              <w:right w:type="dxa" w:w="110"/>
            </w:tcMar>
            <w:vAlign w:val="center"/>
          </w:tcPr>
          <w:p>
            <w:pPr>
              <w:spacing w:before="40" w:after="40"/>
            </w:pPr>
          </w:p>
        </w:tc>
      </w:tr>
      <w:tr>
        <w:trPr>
          <w:cantSplit/>
          <w:trHeight w:val="380" w:hRule="atLeast"/>
        </w:trPr>
        <w:tc>
          <w:tcPr>
            <w:tcW w:type="dxa" w:w="688"/>
            <w:shd w:fill="F5F8FB" w:color="auto" w:val="clear"/>
            <w:tcMar>
              <w:top w:type="dxa" w:w="60"/>
              <w:left w:type="dxa" w:w="110"/>
              <w:bottom w:type="dxa" w:w="60"/>
              <w:right w:type="dxa" w:w="110"/>
            </w:tcMar>
            <w:vAlign w:val="center"/>
          </w:tcPr>
          <w:p>
            <w:pPr>
              <w:spacing w:before="40" w:after="40"/>
            </w:pPr>
          </w:p>
        </w:tc>
        <w:tc>
          <w:tcPr>
            <w:tcW w:type="dxa" w:w="2753"/>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20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88"/>
            <w:tcMar>
              <w:top w:type="dxa" w:w="60"/>
              <w:left w:type="dxa" w:w="110"/>
              <w:bottom w:type="dxa" w:w="60"/>
              <w:right w:type="dxa" w:w="110"/>
            </w:tcMar>
            <w:vAlign w:val="center"/>
          </w:tcPr>
          <w:p>
            <w:pPr>
              <w:spacing w:before="40" w:after="40"/>
            </w:pPr>
          </w:p>
        </w:tc>
        <w:tc>
          <w:tcPr>
            <w:tcW w:type="dxa" w:w="2753"/>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2069"/>
            <w:tcMar>
              <w:top w:type="dxa" w:w="60"/>
              <w:left w:type="dxa" w:w="110"/>
              <w:bottom w:type="dxa" w:w="60"/>
              <w:right w:type="dxa" w:w="110"/>
            </w:tcMar>
            <w:vAlign w:val="center"/>
          </w:tcPr>
          <w:p>
            <w:pPr>
              <w:spacing w:before="40" w:after="40"/>
            </w:pPr>
          </w:p>
        </w:tc>
      </w:tr>
      <w:tr>
        <w:trPr>
          <w:cantSplit/>
          <w:trHeight w:val="380" w:hRule="atLeast"/>
        </w:trPr>
        <w:tc>
          <w:tcPr>
            <w:tcW w:type="dxa" w:w="688"/>
            <w:shd w:fill="F5F8FB" w:color="auto" w:val="clear"/>
            <w:tcMar>
              <w:top w:type="dxa" w:w="60"/>
              <w:left w:type="dxa" w:w="110"/>
              <w:bottom w:type="dxa" w:w="60"/>
              <w:right w:type="dxa" w:w="110"/>
            </w:tcMar>
            <w:vAlign w:val="center"/>
          </w:tcPr>
          <w:p>
            <w:pPr>
              <w:spacing w:before="40" w:after="40"/>
            </w:pPr>
          </w:p>
        </w:tc>
        <w:tc>
          <w:tcPr>
            <w:tcW w:type="dxa" w:w="2753"/>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20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88"/>
            <w:tcMar>
              <w:top w:type="dxa" w:w="60"/>
              <w:left w:type="dxa" w:w="110"/>
              <w:bottom w:type="dxa" w:w="60"/>
              <w:right w:type="dxa" w:w="110"/>
            </w:tcMar>
            <w:vAlign w:val="center"/>
          </w:tcPr>
          <w:p>
            <w:pPr>
              <w:spacing w:before="40" w:after="40"/>
            </w:pPr>
          </w:p>
        </w:tc>
        <w:tc>
          <w:tcPr>
            <w:tcW w:type="dxa" w:w="2753"/>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2069"/>
            <w:tcMar>
              <w:top w:type="dxa" w:w="60"/>
              <w:left w:type="dxa" w:w="110"/>
              <w:bottom w:type="dxa" w:w="60"/>
              <w:right w:type="dxa" w:w="110"/>
            </w:tcMar>
            <w:vAlign w:val="center"/>
          </w:tcPr>
          <w:p>
            <w:pPr>
              <w:spacing w:before="40" w:after="40"/>
            </w:pPr>
          </w:p>
        </w:tc>
      </w:tr>
      <w:tr>
        <w:trPr>
          <w:cantSplit/>
          <w:trHeight w:val="380" w:hRule="atLeast"/>
        </w:trPr>
        <w:tc>
          <w:tcPr>
            <w:tcW w:type="dxa" w:w="688"/>
            <w:shd w:fill="F5F8FB" w:color="auto" w:val="clear"/>
            <w:tcMar>
              <w:top w:type="dxa" w:w="60"/>
              <w:left w:type="dxa" w:w="110"/>
              <w:bottom w:type="dxa" w:w="60"/>
              <w:right w:type="dxa" w:w="110"/>
            </w:tcMar>
            <w:vAlign w:val="center"/>
          </w:tcPr>
          <w:p>
            <w:pPr>
              <w:spacing w:before="40" w:after="40"/>
            </w:pPr>
          </w:p>
        </w:tc>
        <w:tc>
          <w:tcPr>
            <w:tcW w:type="dxa" w:w="2753"/>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2069"/>
            <w:shd w:fill="F5F8FB" w:color="auto" w:val="clear"/>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Brüt Tutar</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Tahmini Toplam İşveren Maliyeti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Bütçe Kalemi / Bütçeye Uygun mu?</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 Evet  ☐ Hayır (ek onay gerekli)</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Hesaplayan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Bordro Kontrolleri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7228"/>
        <w:gridCol w:w="2410"/>
      </w:tblGrid>
      <w:tr>
        <w:trPr>
          <w:cantSplit/>
          <w:trHeight w:val="400" w:hRule="atLeast"/>
        </w:trPr>
        <w:tc>
          <w:tcPr>
            <w:tcW w:type="dxa" w:w="72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4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r>
      <w:tr>
        <w:trPr>
          <w:cantSplit/>
          <w:trHeight w:val="380" w:hRule="atLeast"/>
        </w:trPr>
        <w:tc>
          <w:tcPr>
            <w:tcW w:type="dxa" w:w="72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 ödendiği ayın SGK prime esas kazancına eklendi (5510 sayılı Kanun md. 80)</w:t>
            </w:r>
          </w:p>
        </w:tc>
        <w:tc>
          <w:tcPr>
            <w:tcW w:type="dxa" w:w="24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72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Üst sınırı aşan kısım için izleyen iki aya devir kontrolü yapıldı</w:t>
            </w:r>
          </w:p>
        </w:tc>
        <w:tc>
          <w:tcPr>
            <w:tcW w:type="dxa" w:w="24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Uygulanmaz  ☐ Yapıldı</w:t>
            </w:r>
          </w:p>
        </w:tc>
      </w:tr>
      <w:tr>
        <w:trPr>
          <w:cantSplit/>
          <w:trHeight w:val="380" w:hRule="atLeast"/>
        </w:trPr>
        <w:tc>
          <w:tcPr>
            <w:tcW w:type="dxa" w:w="72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Kümülatif gelir vergisi matrahı ve dilim değişimi kontrol edildi; çalışan bilgilendirilecek</w:t>
            </w:r>
          </w:p>
        </w:tc>
        <w:tc>
          <w:tcPr>
            <w:tcW w:type="dxa" w:w="24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72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Damga vergisi hesaplandı</w:t>
            </w:r>
          </w:p>
        </w:tc>
        <w:tc>
          <w:tcPr>
            <w:tcW w:type="dxa" w:w="24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72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 ücret hesap pusulasında ayrı kalem olarak gösterilecek (İş Kanunu md. 37)</w:t>
            </w:r>
          </w:p>
        </w:tc>
        <w:tc>
          <w:tcPr>
            <w:tcW w:type="dxa" w:w="24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72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 banka hesabına yapılacak (İş Kanunu md. 32)</w:t>
            </w:r>
          </w:p>
        </w:tc>
        <w:tc>
          <w:tcPr>
            <w:tcW w:type="dxa" w:w="24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72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Düzenli ödeme ise kıdem tazminatı hesabında giydirilmiş ücrete etkisi kayda alındı</w:t>
            </w:r>
          </w:p>
        </w:tc>
        <w:tc>
          <w:tcPr>
            <w:tcW w:type="dxa" w:w="24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Uygulanmaz  ☐ Evet</w:t>
            </w:r>
          </w:p>
        </w:tc>
      </w:tr>
      <w:tr>
        <w:trPr>
          <w:cantSplit/>
          <w:trHeight w:val="380" w:hRule="atLeast"/>
        </w:trPr>
        <w:tc>
          <w:tcPr>
            <w:tcW w:type="dxa" w:w="72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Aynı kriteri sağlayan tüm çalışanlar listede (eşit davranma kontrolü)</w:t>
            </w:r>
          </w:p>
        </w:tc>
        <w:tc>
          <w:tcPr>
            <w:tcW w:type="dxa" w:w="24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Onay Zinciri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753"/>
        <w:gridCol w:w="2065"/>
        <w:gridCol w:w="2065"/>
        <w:gridCol w:w="1376"/>
        <w:gridCol w:w="1379"/>
      </w:tblGrid>
      <w:tr>
        <w:trPr>
          <w:cantSplit/>
          <w:trHeight w:val="400" w:hRule="atLeast"/>
        </w:trPr>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Onay Mercii</w:t>
            </w:r>
          </w:p>
        </w:tc>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Karar</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37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İmza</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Birim Yöneticisi (kriter doğrulama)</w:t>
            </w:r>
          </w:p>
        </w:tc>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  ☐ Revizyon</w:t>
            </w:r>
          </w:p>
        </w:tc>
        <w:tc>
          <w:tcPr>
            <w:tcW w:type="dxa" w:w="1376"/>
            <w:tcMar>
              <w:top w:type="dxa" w:w="60"/>
              <w:left w:type="dxa" w:w="110"/>
              <w:bottom w:type="dxa" w:w="60"/>
              <w:right w:type="dxa" w:w="110"/>
            </w:tcMar>
            <w:vAlign w:val="center"/>
          </w:tcPr>
          <w:p>
            <w:pPr>
              <w:spacing w:before="40" w:after="40"/>
            </w:pPr>
          </w:p>
        </w:tc>
        <w:tc>
          <w:tcPr>
            <w:tcW w:type="dxa" w:w="1379"/>
            <w:tcMar>
              <w:top w:type="dxa" w:w="60"/>
              <w:left w:type="dxa" w:w="110"/>
              <w:bottom w:type="dxa" w:w="60"/>
              <w:right w:type="dxa" w:w="110"/>
            </w:tcMar>
            <w:vAlign w:val="center"/>
          </w:tcPr>
          <w:p>
            <w:pPr>
              <w:spacing w:before="40" w:after="40"/>
            </w:pP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İnsan Kaynakları (politika ve eşitlik kontrolü)</w:t>
            </w:r>
          </w:p>
        </w:tc>
        <w:tc>
          <w:tcPr>
            <w:tcW w:type="dxa" w:w="2065"/>
            <w:shd w:fill="F5F8FB" w:color="auto" w:val="clear"/>
            <w:tcMar>
              <w:top w:type="dxa" w:w="60"/>
              <w:left w:type="dxa" w:w="110"/>
              <w:bottom w:type="dxa" w:w="60"/>
              <w:right w:type="dxa" w:w="110"/>
            </w:tcMar>
            <w:vAlign w:val="center"/>
          </w:tcPr>
          <w:p>
            <w:pPr>
              <w:spacing w:before="40" w:after="40"/>
            </w:pPr>
          </w:p>
        </w:tc>
        <w:tc>
          <w:tcPr>
            <w:tcW w:type="dxa" w:w="20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  ☐ Revizyon</w:t>
            </w:r>
          </w:p>
        </w:tc>
        <w:tc>
          <w:tcPr>
            <w:tcW w:type="dxa" w:w="1376"/>
            <w:shd w:fill="F5F8FB" w:color="auto" w:val="clear"/>
            <w:tcMar>
              <w:top w:type="dxa" w:w="60"/>
              <w:left w:type="dxa" w:w="110"/>
              <w:bottom w:type="dxa" w:w="60"/>
              <w:right w:type="dxa" w:w="110"/>
            </w:tcMar>
            <w:vAlign w:val="center"/>
          </w:tcPr>
          <w:p>
            <w:pPr>
              <w:spacing w:before="40" w:after="40"/>
            </w:pPr>
          </w:p>
        </w:tc>
        <w:tc>
          <w:tcPr>
            <w:tcW w:type="dxa" w:w="137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 (hesap kontrolü)</w:t>
            </w:r>
          </w:p>
        </w:tc>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Düzeltme</w:t>
            </w:r>
          </w:p>
        </w:tc>
        <w:tc>
          <w:tcPr>
            <w:tcW w:type="dxa" w:w="1376"/>
            <w:tcMar>
              <w:top w:type="dxa" w:w="60"/>
              <w:left w:type="dxa" w:w="110"/>
              <w:bottom w:type="dxa" w:w="60"/>
              <w:right w:type="dxa" w:w="110"/>
            </w:tcMar>
            <w:vAlign w:val="center"/>
          </w:tcPr>
          <w:p>
            <w:pPr>
              <w:spacing w:before="40" w:after="40"/>
            </w:pPr>
          </w:p>
        </w:tc>
        <w:tc>
          <w:tcPr>
            <w:tcW w:type="dxa" w:w="1379"/>
            <w:tcMar>
              <w:top w:type="dxa" w:w="60"/>
              <w:left w:type="dxa" w:w="110"/>
              <w:bottom w:type="dxa" w:w="60"/>
              <w:right w:type="dxa" w:w="110"/>
            </w:tcMar>
            <w:vAlign w:val="center"/>
          </w:tcPr>
          <w:p>
            <w:pPr>
              <w:spacing w:before="40" w:after="40"/>
            </w:pP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Mali İşler / Finans (bütçe)</w:t>
            </w:r>
          </w:p>
        </w:tc>
        <w:tc>
          <w:tcPr>
            <w:tcW w:type="dxa" w:w="2065"/>
            <w:shd w:fill="F5F8FB" w:color="auto" w:val="clear"/>
            <w:tcMar>
              <w:top w:type="dxa" w:w="60"/>
              <w:left w:type="dxa" w:w="110"/>
              <w:bottom w:type="dxa" w:w="60"/>
              <w:right w:type="dxa" w:w="110"/>
            </w:tcMar>
            <w:vAlign w:val="center"/>
          </w:tcPr>
          <w:p>
            <w:pPr>
              <w:spacing w:before="40" w:after="40"/>
            </w:pPr>
          </w:p>
        </w:tc>
        <w:tc>
          <w:tcPr>
            <w:tcW w:type="dxa" w:w="20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w:t>
            </w:r>
          </w:p>
        </w:tc>
        <w:tc>
          <w:tcPr>
            <w:tcW w:type="dxa" w:w="1376"/>
            <w:shd w:fill="F5F8FB" w:color="auto" w:val="clear"/>
            <w:tcMar>
              <w:top w:type="dxa" w:w="60"/>
              <w:left w:type="dxa" w:w="110"/>
              <w:bottom w:type="dxa" w:w="60"/>
              <w:right w:type="dxa" w:w="110"/>
            </w:tcMar>
            <w:vAlign w:val="center"/>
          </w:tcPr>
          <w:p>
            <w:pPr>
              <w:spacing w:before="40" w:after="40"/>
            </w:pPr>
          </w:p>
        </w:tc>
        <w:tc>
          <w:tcPr>
            <w:tcW w:type="dxa" w:w="137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Genel Müdür (eşik üzeri: </w:t>
            </w: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065"/>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Onay  ☐ Ret</w:t>
            </w:r>
          </w:p>
        </w:tc>
        <w:tc>
          <w:tcPr>
            <w:tcW w:type="dxa" w:w="1376"/>
            <w:tcMar>
              <w:top w:type="dxa" w:w="60"/>
              <w:left w:type="dxa" w:w="110"/>
              <w:bottom w:type="dxa" w:w="60"/>
              <w:right w:type="dxa" w:w="110"/>
            </w:tcMar>
            <w:vAlign w:val="center"/>
          </w:tcPr>
          <w:p>
            <w:pPr>
              <w:spacing w:before="40" w:after="40"/>
            </w:pPr>
          </w:p>
        </w:tc>
        <w:tc>
          <w:tcPr>
            <w:tcW w:type="dxa" w:w="1379"/>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Revizyon / ret gerekçesi: </w:t>
      </w:r>
      <w:r>
        <w:rPr>
          <w:rFonts w:ascii="Calibri" w:cs="Calibri" w:eastAsia="Calibri" w:hAnsi="Calibri"/>
          <w:color w:val="1D5888"/>
          <w:sz w:val="21"/>
          <w:szCs w:val="21"/>
          <w:shd w:fill="EAF1F8" w:color="auto" w:val="clear"/>
        </w:rPr>
        <w:t xml:space="preserve">[Açıklama]</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 – Çalışana Prim / İkramiye Bildirim Yazısı</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[Çalışan 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[Ödeme Dönemi]</w:t>
      </w:r>
      <w:r>
        <w:rPr>
          <w:rFonts w:ascii="Calibri" w:cs="Calibri" w:eastAsia="Calibri" w:hAnsi="Calibri"/>
          <w:color w:val="3A4A61"/>
          <w:sz w:val="21"/>
          <w:szCs w:val="21"/>
        </w:rPr>
        <w:t xml:space="preserve"> dönemine ilişkin </w:t>
      </w:r>
      <w:r>
        <w:rPr>
          <w:rFonts w:ascii="Calibri" w:cs="Calibri" w:eastAsia="Calibri" w:hAnsi="Calibri"/>
          <w:color w:val="1D5888"/>
          <w:sz w:val="21"/>
          <w:szCs w:val="21"/>
          <w:shd w:fill="EAF1F8" w:color="auto" w:val="clear"/>
        </w:rPr>
        <w:t xml:space="preserve">[Ödeme Türü]</w:t>
      </w:r>
      <w:r>
        <w:rPr>
          <w:rFonts w:ascii="Calibri" w:cs="Calibri" w:eastAsia="Calibri" w:hAnsi="Calibri"/>
          <w:color w:val="3A4A61"/>
          <w:sz w:val="21"/>
          <w:szCs w:val="21"/>
        </w:rPr>
        <w:t xml:space="preserve"> kapsamında, </w:t>
      </w:r>
      <w:r>
        <w:rPr>
          <w:rFonts w:ascii="Calibri" w:cs="Calibri" w:eastAsia="Calibri" w:hAnsi="Calibri"/>
          <w:color w:val="1D5888"/>
          <w:sz w:val="21"/>
          <w:szCs w:val="21"/>
          <w:shd w:fill="EAF1F8" w:color="auto" w:val="clear"/>
        </w:rPr>
        <w:t xml:space="preserve">[Dayanak – örn. Prim Yönetmeliği md. __]</w:t>
      </w:r>
      <w:r>
        <w:rPr>
          <w:rFonts w:ascii="Calibri" w:cs="Calibri" w:eastAsia="Calibri" w:hAnsi="Calibri"/>
          <w:color w:val="3A4A61"/>
          <w:sz w:val="21"/>
          <w:szCs w:val="21"/>
        </w:rPr>
        <w:t xml:space="preserve"> uyarınca belirlenen kriterlerdeki sonuçlarınız değerlendirilmiştir. Bu değerlendirme sonucunda tarafınıza </w:t>
      </w:r>
      <w:r>
        <w:rPr>
          <w:rFonts w:ascii="Calibri" w:cs="Calibri" w:eastAsia="Calibri" w:hAnsi="Calibri"/>
          <w:b/>
          <w:bCs/>
          <w:color w:val="3A4A61"/>
          <w:sz w:val="21"/>
          <w:szCs w:val="21"/>
        </w:rPr>
        <w:t xml:space="preserve">brüt [Tutar] TL</w:t>
      </w:r>
      <w:r>
        <w:rPr>
          <w:rFonts w:ascii="Calibri" w:cs="Calibri" w:eastAsia="Calibri" w:hAnsi="Calibri"/>
          <w:color w:val="3A4A61"/>
          <w:sz w:val="21"/>
          <w:szCs w:val="21"/>
        </w:rPr>
        <w:t xml:space="preserve"> tutarında ödeme yapılmasına karar verilmiştir.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1927"/>
        <w:gridCol w:w="1927"/>
        <w:gridCol w:w="1929"/>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Kriter</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Gerçekleşen</w:t>
            </w:r>
          </w:p>
        </w:tc>
        <w:tc>
          <w:tcPr>
            <w:tcW w:type="dxa" w:w="19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r>
      <w:tr>
        <w:trPr>
          <w:cantSplit/>
          <w:trHeight w:val="380" w:hRule="atLeast"/>
        </w:trPr>
        <w:tc>
          <w:tcPr>
            <w:tcW w:type="dxa" w:w="385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855"/>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29"/>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Ödeme, </w:t>
      </w:r>
      <w:r>
        <w:rPr>
          <w:rFonts w:ascii="Calibri" w:cs="Calibri" w:eastAsia="Calibri" w:hAnsi="Calibri"/>
          <w:color w:val="1D5888"/>
          <w:sz w:val="21"/>
          <w:szCs w:val="21"/>
          <w:shd w:fill="EAF1F8" w:color="auto" w:val="clear"/>
        </w:rPr>
        <w:t xml:space="preserve">[Ay / Yıl]</w:t>
      </w:r>
      <w:r>
        <w:rPr>
          <w:rFonts w:ascii="Calibri" w:cs="Calibri" w:eastAsia="Calibri" w:hAnsi="Calibri"/>
          <w:color w:val="3A4A61"/>
          <w:sz w:val="21"/>
          <w:szCs w:val="21"/>
        </w:rPr>
        <w:t xml:space="preserve"> dönemi ücretinizle birlikte banka hesabınıza yatırılacak ve ücret hesap pusulanızda ayrı kalem olarak gösterilecektir. Bu ödeme gelir vergisi, SGK primi ve damga vergisine tabidir; kümülatif vergi matrahınıza bağlı olarak net tutar ve sonraki aylardaki vergi diliminiz değişebilir.</w:t>
      </w:r>
    </w:p>
    <w:p>
      <w:pPr>
        <w:spacing w:after="120" w:before="0" w:line="300"/>
        <w:jc w:val="both"/>
      </w:pPr>
      <w:r>
        <w:rPr>
          <w:rFonts w:ascii="Calibri" w:cs="Calibri" w:eastAsia="Calibri" w:hAnsi="Calibri"/>
          <w:b/>
          <w:bCs/>
          <w:color w:val="3A4A61"/>
          <w:sz w:val="21"/>
          <w:szCs w:val="21"/>
        </w:rPr>
        <w:t xml:space="preserve">[Takdire bağlı ödemelerde kullanılacak paragraf:]</w:t>
      </w:r>
      <w:r>
        <w:rPr>
          <w:rFonts w:ascii="Calibri" w:cs="Calibri" w:eastAsia="Calibri" w:hAnsi="Calibri"/>
          <w:color w:val="3A4A61"/>
          <w:sz w:val="21"/>
          <w:szCs w:val="21"/>
        </w:rPr>
        <w:t xml:space="preserve"> Bu ödeme, şirketimizin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dönemindeki sonuçları ve katkınız dikkate alınarak tek seferlik olarak yapılmakta olup gelecek dönemler için bir ödeme taahhüdü içermemektedir.</w:t>
      </w:r>
    </w:p>
    <w:p>
      <w:pPr>
        <w:spacing w:after="120" w:before="0" w:line="300"/>
        <w:jc w:val="both"/>
      </w:pPr>
      <w:r>
        <w:rPr>
          <w:rFonts w:ascii="Calibri" w:cs="Calibri" w:eastAsia="Calibri" w:hAnsi="Calibri"/>
          <w:color w:val="3A4A61"/>
          <w:sz w:val="21"/>
          <w:szCs w:val="21"/>
        </w:rPr>
        <w:t xml:space="preserve">Katkılarınız için teşekkür ederiz.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Hatırlatma</w:t>
            </w:r>
          </w:p>
          <w:p>
            <w:pPr>
              <w:spacing w:after="20" w:line="280"/>
            </w:pPr>
            <w:r>
              <w:rPr>
                <w:rFonts w:ascii="Calibri" w:cs="Calibri" w:eastAsia="Calibri" w:hAnsi="Calibri"/>
                <w:color w:val="3A4A61"/>
                <w:sz w:val="19"/>
                <w:szCs w:val="19"/>
              </w:rPr>
              <w:t xml:space="preserve">Düzenli ve belirli aralıklarla, koşulsuz yapılan ikramiye ödemeleri yargı uygulamasında işyeri uygulaması haline gelebilir ve tek taraflı kaldırılması çalışma koşullarında esaslı değişiklik sayılabilir (İş Kanunu md. 22). Kıdem tazminatı hesabında ücrete ek olarak sağlanan para ve parayla ölçülebilen menfaatler de dikkate alınır (1475 sayılı Kanun md. 14). Takdire bağlı ödemeleri bu niteliğiyle yazılı olarak belgeleyiniz; aynı kriteri sağlayan çalışanlar arasında gerekçesiz farklılık yapmayınız (md. 5).</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[İK-F-27]</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 ve İkramiye Ödeme Onay Formu</dc:title>
  <dc:creator>İK Partner</dc:creator>
  <dc:description>Prim ve İkramiye Ödeme Onay Formu — İK Partner (ikpartner.com) ücretsiz İK şablonu</dc:description>
  <cp:lastModifiedBy>Un-named</cp:lastModifiedBy>
  <cp:revision>1</cp:revision>
  <dcterms:created xsi:type="dcterms:W3CDTF">2026-10-13T21:44:54.364Z</dcterms:created>
  <dcterms:modified xsi:type="dcterms:W3CDTF">2026-10-13T21:44:54.370Z</dcterms:modified>
</cp:coreProperties>
</file>

<file path=docProps/custom.xml><?xml version="1.0" encoding="utf-8"?>
<Properties xmlns="http://schemas.openxmlformats.org/officeDocument/2006/custom-properties" xmlns:vt="http://schemas.openxmlformats.org/officeDocument/2006/docPropsVTypes"/>
</file>