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Uyarı Yazısı</w:t>
      </w:r>
    </w:p>
    <w:p>
      <w:pPr>
        <w:pBdr>
          <w:bottom w:val="single" w:color="13B8A7" w:sz="12" w:space="8"/>
        </w:pBdr>
        <w:spacing w:after="220"/>
      </w:pPr>
      <w:r>
        <w:rPr>
          <w:rFonts w:ascii="Calibri" w:cs="Calibri" w:eastAsia="Calibri" w:hAnsi="Calibri"/>
          <w:color w:val="5A6B82"/>
          <w:sz w:val="21"/>
          <w:szCs w:val="21"/>
        </w:rPr>
        <w:t xml:space="preserve">Kurallara aykırı davranış veya performans sorunu nedeniyle çalışana verilen yazılı uyarı; beklenen düzeltme ve tebellüğ bölümüyle.</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Yazılı uyarı</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Uyarının Niteliği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Sözlü uyarının yazılı kaydı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Yazılı uyarı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 yazılı uyarı</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Uyarının konusu: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geç gelme / erken ayrılma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 ve talimatlara uymama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 hedeflerin karşılanmaması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sağlığı ve güvenliği kurallarına uymama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İşyeri davranış kurallarına aykırılık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Uyarıya Konu Olay</w:t>
      </w: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'de </w:t>
      </w:r>
      <w:r>
        <w:rPr>
          <w:rFonts w:ascii="Calibri" w:cs="Calibri" w:eastAsia="Calibri" w:hAnsi="Calibri"/>
          <w:color w:val="1D5888"/>
          <w:sz w:val="21"/>
          <w:szCs w:val="21"/>
          <w:shd w:fill="EAF1F8" w:color="auto" w:val="clear"/>
        </w:rPr>
        <w:t xml:space="preserve">[olayı nesnel ve somut olarak yazınız; örneğin: [Tarih]</w:t>
      </w:r>
      <w:r>
        <w:rPr>
          <w:rFonts w:ascii="Calibri" w:cs="Calibri" w:eastAsia="Calibri" w:hAnsi="Calibri"/>
          <w:color w:val="3A4A61"/>
          <w:sz w:val="21"/>
          <w:szCs w:val="21"/>
        </w:rPr>
        <w:t xml:space="preserve">–</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kez vardiya başlangıç saatinden sonra işbaşı yaptığınız giriş kayıtları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tutanakla tespit edilmiştir].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Bu davranış, </w:t>
      </w:r>
      <w:r>
        <w:rPr>
          <w:rFonts w:ascii="Calibri" w:cs="Calibri" w:eastAsia="Calibri" w:hAnsi="Calibri"/>
          <w:color w:val="1D5888"/>
          <w:sz w:val="21"/>
          <w:szCs w:val="21"/>
          <w:shd w:fill="EAF1F8" w:color="auto" w:val="clear"/>
        </w:rPr>
        <w:t xml:space="preserve">[iş sözleşmenizin [__]</w:t>
      </w:r>
      <w:r>
        <w:rPr>
          <w:rFonts w:ascii="Calibri" w:cs="Calibri" w:eastAsia="Calibri" w:hAnsi="Calibri"/>
          <w:color w:val="3A4A61"/>
          <w:sz w:val="21"/>
          <w:szCs w:val="21"/>
        </w:rPr>
        <w:t xml:space="preserve">. maddesi / Personel Yönetmeliği'nin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maddesi / </w:t>
      </w:r>
      <w:r>
        <w:rPr>
          <w:rFonts w:ascii="Calibri" w:cs="Calibri" w:eastAsia="Calibri" w:hAnsi="Calibri"/>
          <w:color w:val="1D5888"/>
          <w:sz w:val="21"/>
          <w:szCs w:val="21"/>
          <w:shd w:fill="EAF1F8" w:color="auto" w:val="clear"/>
        </w:rPr>
        <w:t xml:space="preserve">[Politika Adı]</w:t>
      </w:r>
      <w:r>
        <w:rPr>
          <w:rFonts w:ascii="Calibri" w:cs="Calibri" w:eastAsia="Calibri" w:hAnsi="Calibri"/>
          <w:color w:val="3A4A61"/>
          <w:sz w:val="21"/>
          <w:szCs w:val="21"/>
        </w:rPr>
        <w:t xml:space="preserve">] hükmüne aykırıdır. </w:t>
      </w:r>
      <w:r>
        <w:rPr>
          <w:rFonts w:ascii="Calibri" w:cs="Calibri" w:eastAsia="Calibri" w:hAnsi="Calibri"/>
          <w:color w:val="1D5888"/>
          <w:sz w:val="21"/>
          <w:szCs w:val="21"/>
          <w:shd w:fill="EAF1F8" w:color="auto" w:val="clear"/>
        </w:rPr>
        <w:t xml:space="preserve">[Varsa: Konuya ilişkin [Tarih]</w:t>
      </w:r>
      <w:r>
        <w:rPr>
          <w:rFonts w:ascii="Calibri" w:cs="Calibri" w:eastAsia="Calibri" w:hAnsi="Calibri"/>
          <w:color w:val="3A4A61"/>
          <w:sz w:val="21"/>
          <w:szCs w:val="21"/>
        </w:rPr>
        <w:t xml:space="preserve"> tarihli yazı ile açıklamanız istenmiş ve açıklamanız değerlendirilmiştir.]</w:t>
      </w:r>
    </w:p>
    <w:p>
      <w:pPr>
        <w:keepNext/>
        <w:pBdr>
          <w:bottom w:val="single" w:color="DCE4EE" w:sz="6" w:space="4"/>
        </w:pBdr>
        <w:spacing w:before="280" w:after="120"/>
      </w:pPr>
      <w:r>
        <w:rPr>
          <w:rFonts w:ascii="Calibri" w:cs="Calibri" w:eastAsia="Calibri" w:hAnsi="Calibri"/>
          <w:b/>
          <w:bCs/>
          <w:color w:val="0E2849"/>
          <w:sz w:val="25"/>
          <w:szCs w:val="25"/>
        </w:rPr>
        <w:t xml:space="preserve">Önceki Uyarılar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41"/>
        <w:gridCol w:w="2141"/>
        <w:gridCol w:w="5356"/>
      </w:tblGrid>
      <w:tr>
        <w:trPr>
          <w:cantSplit/>
          <w:trHeight w:val="400" w:hRule="atLeast"/>
        </w:trPr>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Uyarı Türü</w:t>
            </w:r>
          </w:p>
        </w:tc>
        <w:tc>
          <w:tcPr>
            <w:tcW w:type="dxa" w:w="53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Konusu</w:t>
            </w: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5356"/>
            <w:tcMar>
              <w:top w:type="dxa" w:w="60"/>
              <w:left w:type="dxa" w:w="110"/>
              <w:bottom w:type="dxa" w:w="60"/>
              <w:right w:type="dxa" w:w="110"/>
            </w:tcMar>
            <w:vAlign w:val="center"/>
          </w:tcPr>
          <w:p>
            <w:pPr>
              <w:spacing w:before="40" w:after="40"/>
            </w:pPr>
          </w:p>
        </w:tc>
      </w:tr>
      <w:tr>
        <w:trPr>
          <w:cantSplit/>
          <w:trHeight w:val="380" w:hRule="atLeast"/>
        </w:trPr>
        <w:tc>
          <w:tcPr>
            <w:tcW w:type="dxa" w:w="2141"/>
            <w:shd w:fill="F5F8FB" w:color="auto" w:val="clear"/>
            <w:tcMar>
              <w:top w:type="dxa" w:w="60"/>
              <w:left w:type="dxa" w:w="110"/>
              <w:bottom w:type="dxa" w:w="60"/>
              <w:right w:type="dxa" w:w="110"/>
            </w:tcMar>
            <w:vAlign w:val="center"/>
          </w:tcPr>
          <w:p>
            <w:pPr>
              <w:spacing w:before="40" w:after="40"/>
            </w:pPr>
          </w:p>
        </w:tc>
        <w:tc>
          <w:tcPr>
            <w:tcW w:type="dxa" w:w="2141"/>
            <w:shd w:fill="F5F8FB" w:color="auto" w:val="clear"/>
            <w:tcMar>
              <w:top w:type="dxa" w:w="60"/>
              <w:left w:type="dxa" w:w="110"/>
              <w:bottom w:type="dxa" w:w="60"/>
              <w:right w:type="dxa" w:w="110"/>
            </w:tcMar>
            <w:vAlign w:val="center"/>
          </w:tcPr>
          <w:p>
            <w:pPr>
              <w:spacing w:before="40" w:after="40"/>
            </w:pPr>
          </w:p>
        </w:tc>
        <w:tc>
          <w:tcPr>
            <w:tcW w:type="dxa" w:w="535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141"/>
            <w:tcMar>
              <w:top w:type="dxa" w:w="60"/>
              <w:left w:type="dxa" w:w="110"/>
              <w:bottom w:type="dxa" w:w="60"/>
              <w:right w:type="dxa" w:w="110"/>
            </w:tcMar>
            <w:vAlign w:val="center"/>
          </w:tcPr>
          <w:p>
            <w:pPr>
              <w:spacing w:before="40" w:after="40"/>
            </w:pPr>
          </w:p>
        </w:tc>
        <w:tc>
          <w:tcPr>
            <w:tcW w:type="dxa" w:w="2141"/>
            <w:tcMar>
              <w:top w:type="dxa" w:w="60"/>
              <w:left w:type="dxa" w:w="110"/>
              <w:bottom w:type="dxa" w:w="60"/>
              <w:right w:type="dxa" w:w="110"/>
            </w:tcMar>
            <w:vAlign w:val="center"/>
          </w:tcPr>
          <w:p>
            <w:pPr>
              <w:spacing w:before="40" w:after="40"/>
            </w:pPr>
          </w:p>
        </w:tc>
        <w:tc>
          <w:tcPr>
            <w:tcW w:type="dxa" w:w="5356"/>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konuda daha önce verilmiş bir uyarı bulunmamaktadır.</w:t>
      </w:r>
    </w:p>
    <w:p>
      <w:pPr>
        <w:keepNext/>
        <w:pBdr>
          <w:bottom w:val="single" w:color="DCE4EE" w:sz="6" w:space="4"/>
        </w:pBdr>
        <w:spacing w:before="280" w:after="120"/>
      </w:pPr>
      <w:r>
        <w:rPr>
          <w:rFonts w:ascii="Calibri" w:cs="Calibri" w:eastAsia="Calibri" w:hAnsi="Calibri"/>
          <w:b/>
          <w:bCs/>
          <w:color w:val="0E2849"/>
          <w:sz w:val="25"/>
          <w:szCs w:val="25"/>
        </w:rPr>
        <w:t xml:space="preserve">Beklenen Davranış ve Düzeltme</w:t>
      </w:r>
    </w:p>
    <w:p>
      <w:pPr>
        <w:spacing w:after="120" w:before="0" w:line="300"/>
        <w:jc w:val="both"/>
      </w:pPr>
      <w:r>
        <w:rPr>
          <w:rFonts w:ascii="Calibri" w:cs="Calibri" w:eastAsia="Calibri" w:hAnsi="Calibri"/>
          <w:color w:val="3A4A61"/>
          <w:sz w:val="21"/>
          <w:szCs w:val="21"/>
        </w:rPr>
        <w:t xml:space="preserve">Sizden beklenen, [beklenen davranışı ölçülebilir biçimde yazınız; örneğin: vardiya başlangıç saatine uymanız, işe geç kalacağınız durumlarda en geç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'a kadar yöneticinizi bilgilendirmeniz].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3855"/>
        <w:gridCol w:w="1928"/>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Beklenen İyileştirme</w:t>
            </w:r>
          </w:p>
        </w:tc>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Destek / Kaynak</w:t>
            </w:r>
          </w:p>
        </w:tc>
        <w:tc>
          <w:tcPr>
            <w:tcW w:type="dxa" w:w="19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Takip Tarihi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[İyileştirme 1]</w:t>
            </w:r>
          </w:p>
        </w:tc>
        <w:tc>
          <w:tcPr>
            <w:tcW w:type="dxa" w:w="38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[Eğitim, koçluk, ekipman vb.]</w:t>
            </w:r>
          </w:p>
        </w:tc>
        <w:tc>
          <w:tcPr>
            <w:tcW w:type="dxa" w:w="19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[İyileştirme 2]</w:t>
            </w:r>
          </w:p>
        </w:tc>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[Destek]</w:t>
            </w:r>
          </w:p>
        </w:tc>
        <w:tc>
          <w:tcPr>
            <w:tcW w:type="dxa" w:w="1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bl>
    <w:p>
      <w:pPr>
        <w:spacing w:after="120" w:before="0"/>
      </w:pPr>
    </w:p>
    <w:p>
      <w:pPr>
        <w:spacing w:after="120" w:before="0" w:line="300"/>
        <w:jc w:val="both"/>
      </w:pPr>
      <w:r>
        <w:rPr>
          <w:rFonts w:ascii="Calibri" w:cs="Calibri" w:eastAsia="Calibri" w:hAnsi="Calibri"/>
          <w:color w:val="3A4A61"/>
          <w:sz w:val="21"/>
          <w:szCs w:val="21"/>
        </w:rPr>
        <w:t xml:space="preserve">İşbu yazı ile ilgili davranışın tekrarlanmaması konusunda yazılı olarak uyarılmaktasınız. Aynı veya benzer davranışın tekrarı halinde, iş sözleşmeniz, iç yönetmelik ve 4857 sayılı İş Kanunu çerçevesinde iş sözleşmesinin feshi dahil başka işlemlerin gündeme gelebileceğini bilgilerinize sunarız. Bu uyarı ücretinizde herhangi bir kesinti içermez ve özlük dosyanızda saklanacaktır.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Çalışanın Görüşü (İsteğe Bağlı)</w:t>
      </w:r>
    </w:p>
    <w:p>
      <w:pPr>
        <w:spacing w:after="120" w:before="0" w:line="300"/>
        <w:jc w:val="both"/>
      </w:pPr>
      <w:r>
        <w:rPr>
          <w:rFonts w:ascii="Calibri" w:cs="Calibri" w:eastAsia="Calibri" w:hAnsi="Calibri"/>
          <w:color w:val="3A4A61"/>
          <w:sz w:val="21"/>
          <w:szCs w:val="21"/>
        </w:rPr>
        <w:t xml:space="preserve">Uyarıya ilişkin eklemek istediğiniz açıklamayı bu alana yazabilir veya ayrı bir dilekçeyle iletebilirsiniz:</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Tebellüğ</w:t>
      </w:r>
    </w:p>
    <w:p>
      <w:pPr>
        <w:spacing w:after="120" w:before="0" w:line="300"/>
        <w:jc w:val="both"/>
      </w:pPr>
      <w:r>
        <w:rPr>
          <w:rFonts w:ascii="Calibri" w:cs="Calibri" w:eastAsia="Calibri" w:hAnsi="Calibri"/>
          <w:color w:val="3A4A61"/>
          <w:sz w:val="21"/>
          <w:szCs w:val="21"/>
        </w:rPr>
        <w:t xml:space="preserve">Bu uyarı yazısının bir nüshasını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aldım. İmzam, yazıyı teslim aldığımı gösterir; içeriğini kabul ettiğim anlamına gelmez.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b/>
          <w:bCs/>
          <w:color w:val="3A4A61"/>
          <w:sz w:val="21"/>
          <w:szCs w:val="21"/>
        </w:rPr>
        <w:t xml:space="preserve">Tebellüğden kaçınma halinde:</w:t>
      </w:r>
      <w:r>
        <w:rPr>
          <w:rFonts w:ascii="Calibri" w:cs="Calibri" w:eastAsia="Calibri" w:hAnsi="Calibri"/>
          <w:color w:val="3A4A61"/>
          <w:sz w:val="21"/>
          <w:szCs w:val="21"/>
        </w:rPr>
        <w:t xml:space="preserve"> Uyarı yazısı çalışana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'da aşağıda imzası bulunanların huzurunda okunmuş / verilmek istenmiş; çalışan imzadan kaçınmıştır.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Tanık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Uyarı yazısı, olaydan sonra makul bir süre içinde ve olay tutanağı gibi belgelere dayanılarak verilmelidir. Aynı olay için birden fazla yaptırım uygulanmamalı, benzer durumdaki çalışanlara aynı ölçüt uygulanmalıdır (eşit davranma). Ücretten kesme cezası ayrı bir yaptırımdır ve İş Kanunu md. 38'deki koşullara tabidir; uyarı yazısıyla birleştirilmemelidir.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[İK-DS-02]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Uyarı Yazısı</dc:title>
  <dc:creator>İK Partner</dc:creator>
  <dc:description>Personel Uyarı Yazısı — İK Partner (ikpartner.com) ücretsiz İK şablonu</dc:description>
  <cp:lastModifiedBy>Un-named</cp:lastModifiedBy>
  <cp:revision>1</cp:revision>
  <dcterms:created xsi:type="dcterms:W3CDTF">2026-10-12T11:08:15.973Z</dcterms:created>
  <dcterms:modified xsi:type="dcterms:W3CDTF">2026-10-12T11:08:15.973Z</dcterms:modified>
</cp:coreProperties>
</file>

<file path=docProps/custom.xml><?xml version="1.0" encoding="utf-8"?>
<Properties xmlns="http://schemas.openxmlformats.org/officeDocument/2006/custom-properties" xmlns:vt="http://schemas.openxmlformats.org/officeDocument/2006/docPropsVTypes"/>
</file>