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Mobbing ve Tacizi Önleme Politikası</w:t>
      </w:r>
    </w:p>
    <w:p>
      <w:pPr>
        <w:pBdr>
          <w:bottom w:val="single" w:color="13B8A7" w:sz="12" w:space="8"/>
        </w:pBdr>
        <w:spacing w:after="220"/>
      </w:pPr>
      <w:r>
        <w:rPr>
          <w:rFonts w:ascii="Calibri" w:cs="Calibri" w:eastAsia="Calibri" w:hAnsi="Calibri"/>
          <w:color w:val="5A6B82"/>
          <w:sz w:val="21"/>
          <w:szCs w:val="21"/>
        </w:rPr>
        <w:t xml:space="preserve">[Şirket Unvanı] · Yürürlük tarihi: [Tarih] · Sürüm: [Sürüm No] · Politika sahibi: İnsan Kaynakları</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Amaç ve İlkeler</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("Şirket"), tüm çalışanlarına kişilik haklarına saygı duyulan, güvenli ve onurlu bir çalışma ortamı sağlamayı taahhüt eder. Bu politikanın amacı; psikolojik taciz (mobbing), cinsel taciz, her türlü taciz ve ayrımcılığı önlemek, bu tür davranışlara ilişkin bildirimlerin güvenle yapılabileceği kanalları ve adil bir inceleme usulünü belirlemektir.</w:t>
      </w:r>
    </w:p>
    <w:p>
      <w:pPr>
        <w:spacing w:after="120" w:before="0" w:line="300"/>
        <w:jc w:val="both"/>
      </w:pPr>
      <w:r>
        <w:rPr>
          <w:rFonts w:ascii="Calibri" w:cs="Calibri" w:eastAsia="Calibri" w:hAnsi="Calibri"/>
          <w:color w:val="3A4A61"/>
          <w:sz w:val="21"/>
          <w:szCs w:val="21"/>
        </w:rPr>
        <w:t xml:space="preserve">Şirket, bu konularda </w:t>
      </w:r>
      <w:r>
        <w:rPr>
          <w:rFonts w:ascii="Calibri" w:cs="Calibri" w:eastAsia="Calibri" w:hAnsi="Calibri"/>
          <w:b/>
          <w:bCs/>
          <w:color w:val="3A4A61"/>
          <w:sz w:val="21"/>
          <w:szCs w:val="21"/>
        </w:rPr>
        <w:t xml:space="preserve">sıfır tolerans</w:t>
      </w:r>
      <w:r>
        <w:rPr>
          <w:rFonts w:ascii="Calibri" w:cs="Calibri" w:eastAsia="Calibri" w:hAnsi="Calibri"/>
          <w:color w:val="3A4A61"/>
          <w:sz w:val="21"/>
          <w:szCs w:val="21"/>
        </w:rPr>
        <w:t xml:space="preserve"> ilkesini benimser. Politika; Türk Borçlar Kanunu md. 417 uyarınca işverenin işçinin kişiliğini koruma ve psikolojik ve cinsel tacize uğramaması için gerekli önlemleri alma yükümlülüğü ile 4857 sayılı İş Kanunu md. 5'teki eşit davranma ilkesi esas alınarak hazırlanmıştır.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Kapsam</w:t>
      </w:r>
    </w:p>
    <w:p>
      <w:pPr>
        <w:spacing w:after="120" w:before="0" w:line="300"/>
        <w:jc w:val="both"/>
      </w:pPr>
      <w:r>
        <w:rPr>
          <w:rFonts w:ascii="Calibri" w:cs="Calibri" w:eastAsia="Calibri" w:hAnsi="Calibri"/>
          <w:color w:val="3A4A61"/>
          <w:sz w:val="21"/>
          <w:szCs w:val="21"/>
        </w:rPr>
        <w:t xml:space="preserve">Politika; Şirketin tüm yönetici ve çalışanlarını, stajyerlerini, geçici ve uzaktan çalışanlarını kapsar. Müşteri, tedarikçi, ziyaretçi veya alt işveren çalışanları tarafından Şirket çalışanlarına yönelik davranışlar ile Şirket çalışanlarının bu kişilere yönelik davranışları da kapsam dahilindedir. Politika; işyerinde, iş seyahatlerinde, iş yemekleri ve etkinliklerde, servis araçlarında ve e-posta, mesajlaşma ve sosyal medya dahil her türlü iletişim kanalında uygulanır.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Tanımlar</w:t>
      </w:r>
    </w:p>
    <w:p>
      <w:pPr>
        <w:pStyle w:val="ListParagraph"/>
        <w:numPr>
          <w:ilvl w:val="0"/>
          <w:numId w:val="2"/>
        </w:numPr>
        <w:spacing w:after="80" w:line="290"/>
      </w:pPr>
      <w:r>
        <w:rPr>
          <w:rFonts w:ascii="Calibri" w:cs="Calibri" w:eastAsia="Calibri" w:hAnsi="Calibri"/>
          <w:b/>
          <w:bCs/>
          <w:color w:val="3A4A61"/>
          <w:sz w:val="21"/>
          <w:szCs w:val="21"/>
        </w:rPr>
        <w:t xml:space="preserve">Psikolojik taciz (mobbing):</w:t>
      </w:r>
      <w:r>
        <w:rPr>
          <w:rFonts w:ascii="Calibri" w:cs="Calibri" w:eastAsia="Calibri" w:hAnsi="Calibri"/>
          <w:color w:val="3A4A61"/>
          <w:sz w:val="21"/>
          <w:szCs w:val="21"/>
        </w:rPr>
        <w:t xml:space="preserve"> Bir çalışana yönelik, belirli bir süre boyunca sistematik ve tekrarlayan şekilde uygulanan; onu yıldırmayı, dışlamayı, değersizleştirmeyi veya işten uzaklaştırmayı amaçlayan ya da bu sonucu doğuran kasıtlı davranışlar.</w:t>
      </w:r>
    </w:p>
    <w:p>
      <w:pPr>
        <w:pStyle w:val="ListParagraph"/>
        <w:numPr>
          <w:ilvl w:val="0"/>
          <w:numId w:val="2"/>
        </w:numPr>
        <w:spacing w:after="80" w:line="290"/>
      </w:pPr>
      <w:r>
        <w:rPr>
          <w:rFonts w:ascii="Calibri" w:cs="Calibri" w:eastAsia="Calibri" w:hAnsi="Calibri"/>
          <w:b/>
          <w:bCs/>
          <w:color w:val="3A4A61"/>
          <w:sz w:val="21"/>
          <w:szCs w:val="21"/>
        </w:rPr>
        <w:t xml:space="preserve">Cinsel taciz:</w:t>
      </w:r>
      <w:r>
        <w:rPr>
          <w:rFonts w:ascii="Calibri" w:cs="Calibri" w:eastAsia="Calibri" w:hAnsi="Calibri"/>
          <w:color w:val="3A4A61"/>
          <w:sz w:val="21"/>
          <w:szCs w:val="21"/>
        </w:rPr>
        <w:t xml:space="preserve"> Kişinin rızası dışında, cinsel nitelikte her türlü sözlü, sözsüz, yazılı, görsel veya fiziksel davranış.</w:t>
      </w:r>
    </w:p>
    <w:p>
      <w:pPr>
        <w:pStyle w:val="ListParagraph"/>
        <w:numPr>
          <w:ilvl w:val="0"/>
          <w:numId w:val="2"/>
        </w:numPr>
        <w:spacing w:after="80" w:line="290"/>
      </w:pPr>
      <w:r>
        <w:rPr>
          <w:rFonts w:ascii="Calibri" w:cs="Calibri" w:eastAsia="Calibri" w:hAnsi="Calibri"/>
          <w:b/>
          <w:bCs/>
          <w:color w:val="3A4A61"/>
          <w:sz w:val="21"/>
          <w:szCs w:val="21"/>
        </w:rPr>
        <w:t xml:space="preserve">Taciz:</w:t>
      </w:r>
      <w:r>
        <w:rPr>
          <w:rFonts w:ascii="Calibri" w:cs="Calibri" w:eastAsia="Calibri" w:hAnsi="Calibri"/>
          <w:color w:val="3A4A61"/>
          <w:sz w:val="21"/>
          <w:szCs w:val="21"/>
        </w:rPr>
        <w:t xml:space="preserve"> Korunan bir özelliğe (dil, ırk, renk, cinsiyet, engellilik, siyasi düşünce, felsefi inanç, din ve mezhep vb.) dayalı olarak kişinin onurunu zedeleyen, düşmanca, aşağılayıcı veya saldırgan bir ortam yaratan davranışlar.</w:t>
      </w:r>
    </w:p>
    <w:p>
      <w:pPr>
        <w:pStyle w:val="ListParagraph"/>
        <w:numPr>
          <w:ilvl w:val="0"/>
          <w:numId w:val="2"/>
        </w:numPr>
        <w:spacing w:after="80" w:line="290"/>
      </w:pPr>
      <w:r>
        <w:rPr>
          <w:rFonts w:ascii="Calibri" w:cs="Calibri" w:eastAsia="Calibri" w:hAnsi="Calibri"/>
          <w:b/>
          <w:bCs/>
          <w:color w:val="3A4A61"/>
          <w:sz w:val="21"/>
          <w:szCs w:val="21"/>
        </w:rPr>
        <w:t xml:space="preserve">Misilleme:</w:t>
      </w:r>
      <w:r>
        <w:rPr>
          <w:rFonts w:ascii="Calibri" w:cs="Calibri" w:eastAsia="Calibri" w:hAnsi="Calibri"/>
          <w:color w:val="3A4A61"/>
          <w:sz w:val="21"/>
          <w:szCs w:val="21"/>
        </w:rPr>
        <w:t xml:space="preserve"> İyi niyetle bildirimde bulunan, incelemeye tanıklık eden veya bilgi veren kişiye yönelik her türlü olumsuz muamele.</w:t>
      </w:r>
    </w:p>
    <w:p>
      <w:pPr>
        <w:pStyle w:val="ListParagraph"/>
        <w:numPr>
          <w:ilvl w:val="0"/>
          <w:numId w:val="2"/>
        </w:numPr>
        <w:spacing w:after="80" w:line="290"/>
      </w:pPr>
      <w:r>
        <w:rPr>
          <w:rFonts w:ascii="Calibri" w:cs="Calibri" w:eastAsia="Calibri" w:hAnsi="Calibri"/>
          <w:b/>
          <w:bCs/>
          <w:color w:val="3A4A61"/>
          <w:sz w:val="21"/>
          <w:szCs w:val="21"/>
        </w:rPr>
        <w:t xml:space="preserve">Bildirimci:</w:t>
      </w:r>
      <w:r>
        <w:rPr>
          <w:rFonts w:ascii="Calibri" w:cs="Calibri" w:eastAsia="Calibri" w:hAnsi="Calibri"/>
          <w:color w:val="3A4A61"/>
          <w:sz w:val="21"/>
          <w:szCs w:val="21"/>
        </w:rPr>
        <w:t xml:space="preserve"> Kendisine veya başkasına yönelik bir davranışı bildiren kişi.</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Yasak Davranışlara Örnekler</w:t>
      </w:r>
    </w:p>
    <w:p>
      <w:pPr>
        <w:spacing w:after="120" w:before="0" w:line="300"/>
        <w:jc w:val="both"/>
      </w:pPr>
      <w:r>
        <w:rPr>
          <w:rFonts w:ascii="Calibri" w:cs="Calibri" w:eastAsia="Calibri" w:hAnsi="Calibri"/>
          <w:color w:val="3A4A61"/>
          <w:sz w:val="21"/>
          <w:szCs w:val="21"/>
        </w:rPr>
        <w:t xml:space="preserve">Aşağıdaki liste sınırlayıcı değildir:</w:t>
      </w:r>
    </w:p>
    <w:p>
      <w:pPr>
        <w:pStyle w:val="ListParagraph"/>
        <w:numPr>
          <w:ilvl w:val="0"/>
          <w:numId w:val="2"/>
        </w:numPr>
        <w:spacing w:after="80" w:line="290"/>
      </w:pPr>
      <w:r>
        <w:rPr>
          <w:rFonts w:ascii="Calibri" w:cs="Calibri" w:eastAsia="Calibri" w:hAnsi="Calibri"/>
          <w:color w:val="3A4A61"/>
          <w:sz w:val="21"/>
          <w:szCs w:val="21"/>
        </w:rPr>
        <w:t xml:space="preserve">Sürekli ve haksız eleştiri, başkalarının önünde aşağılama, bağırma, tehdit etme</w:t>
      </w:r>
    </w:p>
    <w:p>
      <w:pPr>
        <w:pStyle w:val="ListParagraph"/>
        <w:numPr>
          <w:ilvl w:val="0"/>
          <w:numId w:val="2"/>
        </w:numPr>
        <w:spacing w:after="80" w:line="290"/>
      </w:pPr>
      <w:r>
        <w:rPr>
          <w:rFonts w:ascii="Calibri" w:cs="Calibri" w:eastAsia="Calibri" w:hAnsi="Calibri"/>
          <w:color w:val="3A4A61"/>
          <w:sz w:val="21"/>
          <w:szCs w:val="21"/>
        </w:rPr>
        <w:t xml:space="preserve">Kişiyi sistematik olarak toplantılardan, iletişimden veya bilgiden dışlamak</w:t>
      </w:r>
    </w:p>
    <w:p>
      <w:pPr>
        <w:pStyle w:val="ListParagraph"/>
        <w:numPr>
          <w:ilvl w:val="0"/>
          <w:numId w:val="2"/>
        </w:numPr>
        <w:spacing w:after="80" w:line="290"/>
      </w:pPr>
      <w:r>
        <w:rPr>
          <w:rFonts w:ascii="Calibri" w:cs="Calibri" w:eastAsia="Calibri" w:hAnsi="Calibri"/>
          <w:color w:val="3A4A61"/>
          <w:sz w:val="21"/>
          <w:szCs w:val="21"/>
        </w:rPr>
        <w:t xml:space="preserve">Yeteneklerinin çok altında veya imkânsız süreli görevler vermek, işini elinden almak</w:t>
      </w:r>
    </w:p>
    <w:p>
      <w:pPr>
        <w:pStyle w:val="ListParagraph"/>
        <w:numPr>
          <w:ilvl w:val="0"/>
          <w:numId w:val="2"/>
        </w:numPr>
        <w:spacing w:after="80" w:line="290"/>
      </w:pPr>
      <w:r>
        <w:rPr>
          <w:rFonts w:ascii="Calibri" w:cs="Calibri" w:eastAsia="Calibri" w:hAnsi="Calibri"/>
          <w:color w:val="3A4A61"/>
          <w:sz w:val="21"/>
          <w:szCs w:val="21"/>
        </w:rPr>
        <w:t xml:space="preserve">Kişinin özel hayatı, görünüşü veya korunan özellikleri hakkında alay, söylenti veya hakaret</w:t>
      </w:r>
    </w:p>
    <w:p>
      <w:pPr>
        <w:pStyle w:val="ListParagraph"/>
        <w:numPr>
          <w:ilvl w:val="0"/>
          <w:numId w:val="2"/>
        </w:numPr>
        <w:spacing w:after="80" w:line="290"/>
      </w:pPr>
      <w:r>
        <w:rPr>
          <w:rFonts w:ascii="Calibri" w:cs="Calibri" w:eastAsia="Calibri" w:hAnsi="Calibri"/>
          <w:color w:val="3A4A61"/>
          <w:sz w:val="21"/>
          <w:szCs w:val="21"/>
        </w:rPr>
        <w:t xml:space="preserve">İstenmeyen fiziksel temas, cinsel imalı söz, şaka, mesaj veya görüntü paylaşımı</w:t>
      </w:r>
    </w:p>
    <w:p>
      <w:pPr>
        <w:pStyle w:val="ListParagraph"/>
        <w:numPr>
          <w:ilvl w:val="0"/>
          <w:numId w:val="2"/>
        </w:numPr>
        <w:spacing w:after="80" w:line="290"/>
      </w:pPr>
      <w:r>
        <w:rPr>
          <w:rFonts w:ascii="Calibri" w:cs="Calibri" w:eastAsia="Calibri" w:hAnsi="Calibri"/>
          <w:color w:val="3A4A61"/>
          <w:sz w:val="21"/>
          <w:szCs w:val="21"/>
        </w:rPr>
        <w:t xml:space="preserve">İş ilişkisine ilişkin bir avantajı cinsel bir talebe bağlamak</w:t>
      </w:r>
    </w:p>
    <w:p>
      <w:pPr>
        <w:pStyle w:val="ListParagraph"/>
        <w:numPr>
          <w:ilvl w:val="0"/>
          <w:numId w:val="2"/>
        </w:numPr>
        <w:spacing w:after="80" w:line="290"/>
      </w:pPr>
      <w:r>
        <w:rPr>
          <w:rFonts w:ascii="Calibri" w:cs="Calibri" w:eastAsia="Calibri" w:hAnsi="Calibri"/>
          <w:color w:val="3A4A61"/>
          <w:sz w:val="21"/>
          <w:szCs w:val="21"/>
        </w:rPr>
        <w:t xml:space="preserve">Bildirimde bulunan kişiye karşı misilleme</w:t>
      </w:r>
    </w:p>
    <w:p>
      <w:pPr>
        <w:spacing w:after="120" w:before="0" w:line="300"/>
        <w:jc w:val="both"/>
      </w:pPr>
      <w:r>
        <w:rPr>
          <w:rFonts w:ascii="Calibri" w:cs="Calibri" w:eastAsia="Calibri" w:hAnsi="Calibri"/>
          <w:color w:val="3A4A61"/>
          <w:sz w:val="21"/>
          <w:szCs w:val="21"/>
        </w:rPr>
        <w:t xml:space="preserve">İşin gereği olarak yapılan makul performans değerlendirmeleri, yapıcı geri bildirimler ve iş mevzuatına uygun disiplin uygulamaları tek başına mobbing sayılmaz.</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Sorumluluklar</w:t>
      </w:r>
    </w:p>
    <w:p>
      <w:pPr>
        <w:pStyle w:val="ListParagraph"/>
        <w:numPr>
          <w:ilvl w:val="0"/>
          <w:numId w:val="2"/>
        </w:numPr>
        <w:spacing w:after="80" w:line="290"/>
      </w:pPr>
      <w:r>
        <w:rPr>
          <w:rFonts w:ascii="Calibri" w:cs="Calibri" w:eastAsia="Calibri" w:hAnsi="Calibri"/>
          <w:b/>
          <w:bCs/>
          <w:color w:val="3A4A61"/>
          <w:sz w:val="21"/>
          <w:szCs w:val="21"/>
        </w:rPr>
        <w:t xml:space="preserve">Üst yönetim:</w:t>
      </w:r>
      <w:r>
        <w:rPr>
          <w:rFonts w:ascii="Calibri" w:cs="Calibri" w:eastAsia="Calibri" w:hAnsi="Calibri"/>
          <w:color w:val="3A4A61"/>
          <w:sz w:val="21"/>
          <w:szCs w:val="21"/>
        </w:rPr>
        <w:t xml:space="preserve"> Politikanın uygulanması için kaynak sağlar ve örnek davranış sergiler.</w:t>
      </w:r>
    </w:p>
    <w:p>
      <w:pPr>
        <w:pStyle w:val="ListParagraph"/>
        <w:numPr>
          <w:ilvl w:val="0"/>
          <w:numId w:val="2"/>
        </w:numPr>
        <w:spacing w:after="80" w:line="290"/>
      </w:pPr>
      <w:r>
        <w:rPr>
          <w:rFonts w:ascii="Calibri" w:cs="Calibri" w:eastAsia="Calibri" w:hAnsi="Calibri"/>
          <w:b/>
          <w:bCs/>
          <w:color w:val="3A4A61"/>
          <w:sz w:val="21"/>
          <w:szCs w:val="21"/>
        </w:rPr>
        <w:t xml:space="preserve">Yöneticiler:</w:t>
      </w:r>
      <w:r>
        <w:rPr>
          <w:rFonts w:ascii="Calibri" w:cs="Calibri" w:eastAsia="Calibri" w:hAnsi="Calibri"/>
          <w:color w:val="3A4A61"/>
          <w:sz w:val="21"/>
          <w:szCs w:val="21"/>
        </w:rPr>
        <w:t xml:space="preserve"> Ekiplerinde saygılı bir çalışma ortamı sağlar; öğrendikleri davranışları derhal İnsan Kaynakları'na iletir, kendi başlarına gizli çözüm aramaz.</w:t>
      </w:r>
    </w:p>
    <w:p>
      <w:pPr>
        <w:pStyle w:val="ListParagraph"/>
        <w:numPr>
          <w:ilvl w:val="0"/>
          <w:numId w:val="2"/>
        </w:numPr>
        <w:spacing w:after="80" w:line="290"/>
      </w:pPr>
      <w:r>
        <w:rPr>
          <w:rFonts w:ascii="Calibri" w:cs="Calibri" w:eastAsia="Calibri" w:hAnsi="Calibri"/>
          <w:b/>
          <w:bCs/>
          <w:color w:val="3A4A61"/>
          <w:sz w:val="21"/>
          <w:szCs w:val="21"/>
        </w:rPr>
        <w:t xml:space="preserve">İnsan Kaynakları:</w:t>
      </w:r>
      <w:r>
        <w:rPr>
          <w:rFonts w:ascii="Calibri" w:cs="Calibri" w:eastAsia="Calibri" w:hAnsi="Calibri"/>
          <w:color w:val="3A4A61"/>
          <w:sz w:val="21"/>
          <w:szCs w:val="21"/>
        </w:rPr>
        <w:t xml:space="preserve"> Bildirimleri kayıt altına alır, inceleme sürecini yürütür, eğitim ve farkındalık çalışmalarını planlar.</w:t>
      </w:r>
    </w:p>
    <w:p>
      <w:pPr>
        <w:pStyle w:val="ListParagraph"/>
        <w:numPr>
          <w:ilvl w:val="0"/>
          <w:numId w:val="2"/>
        </w:numPr>
        <w:spacing w:after="80" w:line="290"/>
      </w:pPr>
      <w:r>
        <w:rPr>
          <w:rFonts w:ascii="Calibri" w:cs="Calibri" w:eastAsia="Calibri" w:hAnsi="Calibri"/>
          <w:b/>
          <w:bCs/>
          <w:color w:val="3A4A61"/>
          <w:sz w:val="21"/>
          <w:szCs w:val="21"/>
        </w:rPr>
        <w:t xml:space="preserve">Tüm çalışanlar:</w:t>
      </w:r>
      <w:r>
        <w:rPr>
          <w:rFonts w:ascii="Calibri" w:cs="Calibri" w:eastAsia="Calibri" w:hAnsi="Calibri"/>
          <w:color w:val="3A4A61"/>
          <w:sz w:val="21"/>
          <w:szCs w:val="21"/>
        </w:rPr>
        <w:t xml:space="preserve"> Politikaya uyar; tanık oldukları davranışları bildirmeye ve incelemelerde doğru bilgi vermeye özen gösterir.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Bildirim Kanalları</w:t>
      </w:r>
    </w:p>
    <w:p>
      <w:pPr>
        <w:spacing w:after="120" w:before="0" w:line="300"/>
        <w:jc w:val="both"/>
      </w:pPr>
      <w:r>
        <w:rPr>
          <w:rFonts w:ascii="Calibri" w:cs="Calibri" w:eastAsia="Calibri" w:hAnsi="Calibri"/>
          <w:color w:val="3A4A61"/>
          <w:sz w:val="21"/>
          <w:szCs w:val="21"/>
        </w:rPr>
        <w:t xml:space="preserve">Çalışanlar, kendilerine veya başkasına yönelik bir davranışı aşağıdaki kanallardan biriyle, sözlü veya yazılı olarak bildirebilir. Bildirimcinin önce davranışta bulunan kişiyle görüşme zorunluluğu yoktur.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34"/>
        <w:gridCol w:w="3401"/>
        <w:gridCol w:w="3403"/>
      </w:tblGrid>
      <w:tr>
        <w:trPr>
          <w:cantSplit/>
          <w:trHeight w:val="400" w:hRule="atLeast"/>
        </w:trPr>
        <w:tc>
          <w:tcPr>
            <w:tcW w:type="dxa" w:w="283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Kanal</w:t>
            </w:r>
          </w:p>
        </w:tc>
        <w:tc>
          <w:tcPr>
            <w:tcW w:type="dxa" w:w="34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İletişim Bilgisi</w:t>
            </w:r>
          </w:p>
        </w:tc>
        <w:tc>
          <w:tcPr>
            <w:tcW w:type="dxa" w:w="34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8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340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 Telefon / E-posta]</w:t>
            </w:r>
          </w:p>
        </w:tc>
        <w:tc>
          <w:tcPr>
            <w:tcW w:type="dxa" w:w="34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Birincil bildirim kanalı</w:t>
            </w:r>
          </w:p>
        </w:tc>
      </w:tr>
      <w:tr>
        <w:trPr>
          <w:cantSplit/>
          <w:trHeight w:val="380" w:hRule="atLeast"/>
        </w:trPr>
        <w:tc>
          <w:tcPr>
            <w:tcW w:type="dxa" w:w="28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Etik / bildirim hattı</w:t>
            </w:r>
          </w:p>
        </w:tc>
        <w:tc>
          <w:tcPr>
            <w:tcW w:type="dxa" w:w="34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 / E-posta / Web formu]</w:t>
            </w:r>
          </w:p>
        </w:tc>
        <w:tc>
          <w:tcPr>
            <w:tcW w:type="dxa" w:w="34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İsimsiz bildirim yapılabilir</w:t>
            </w:r>
          </w:p>
        </w:tc>
      </w:tr>
      <w:tr>
        <w:trPr>
          <w:cantSplit/>
          <w:trHeight w:val="380" w:hRule="atLeast"/>
        </w:trPr>
        <w:tc>
          <w:tcPr>
            <w:tcW w:type="dxa" w:w="283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Doğrudan yönetici veya bir üst yönetici</w:t>
            </w:r>
          </w:p>
        </w:tc>
        <w:tc>
          <w:tcPr>
            <w:tcW w:type="dxa" w:w="340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[Unvan]</w:t>
            </w:r>
          </w:p>
        </w:tc>
        <w:tc>
          <w:tcPr>
            <w:tcW w:type="dxa" w:w="34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Davranış yöneticiden kaynaklanıyorsa bir üst yöneticiye veya İK'ya başvurulur</w:t>
            </w:r>
          </w:p>
        </w:tc>
      </w:tr>
      <w:tr>
        <w:trPr>
          <w:cantSplit/>
          <w:trHeight w:val="380" w:hRule="atLeast"/>
        </w:trPr>
        <w:tc>
          <w:tcPr>
            <w:tcW w:type="dxa" w:w="283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Etik kurul / Genel Müdür</w:t>
            </w:r>
          </w:p>
        </w:tc>
        <w:tc>
          <w:tcPr>
            <w:tcW w:type="dxa" w:w="340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 E-posta]</w:t>
            </w:r>
          </w:p>
        </w:tc>
        <w:tc>
          <w:tcPr>
            <w:tcW w:type="dxa" w:w="34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İK'nın taraf olduğu durumlar için</w:t>
            </w:r>
          </w:p>
        </w:tc>
      </w:tr>
    </w:tbl>
    <w:p>
      <w:pPr>
        <w:spacing w:after="120" w:before="0"/>
      </w:pPr>
    </w:p>
    <w:p>
      <w:pPr>
        <w:spacing w:after="120" w:before="0" w:line="300"/>
        <w:jc w:val="both"/>
      </w:pPr>
      <w:r>
        <w:rPr>
          <w:rFonts w:ascii="Calibri" w:cs="Calibri" w:eastAsia="Calibri" w:hAnsi="Calibri"/>
          <w:color w:val="3A4A61"/>
          <w:sz w:val="21"/>
          <w:szCs w:val="21"/>
        </w:rPr>
        <w:t xml:space="preserve">Bu politika, çalışanların yasal haklarını kullanmasını (ör. ilgili kamu kurumlarına başvuru, arabuluculuk ve yargı yolları) hiçbir şekilde sınırlamaz.</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İnceleme Usulü</w:t>
      </w:r>
    </w:p>
    <w:p>
      <w:pPr>
        <w:pStyle w:val="ListParagraph"/>
        <w:numPr>
          <w:ilvl w:val="0"/>
          <w:numId w:val="3"/>
        </w:numPr>
        <w:spacing w:after="80" w:line="290"/>
      </w:pPr>
      <w:r>
        <w:rPr>
          <w:rFonts w:ascii="Calibri" w:cs="Calibri" w:eastAsia="Calibri" w:hAnsi="Calibri"/>
          <w:b/>
          <w:bCs/>
          <w:color w:val="3A4A61"/>
          <w:sz w:val="21"/>
          <w:szCs w:val="21"/>
        </w:rPr>
        <w:t xml:space="preserve">Kayıt:</w:t>
      </w:r>
      <w:r>
        <w:rPr>
          <w:rFonts w:ascii="Calibri" w:cs="Calibri" w:eastAsia="Calibri" w:hAnsi="Calibri"/>
          <w:color w:val="3A4A61"/>
          <w:sz w:val="21"/>
          <w:szCs w:val="21"/>
        </w:rPr>
        <w:t xml:space="preserve"> Bildirim, alındığı kanaldan bağımsız olarak İnsan Kaynakları tarafından kayıt altına alınır ve bildirimciye en geç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iş günü içinde alındı bilgisi verilir.</w:t>
      </w:r>
    </w:p>
    <w:p>
      <w:pPr>
        <w:pStyle w:val="ListParagraph"/>
        <w:numPr>
          <w:ilvl w:val="0"/>
          <w:numId w:val="3"/>
        </w:numPr>
        <w:spacing w:after="80" w:line="290"/>
      </w:pPr>
      <w:r>
        <w:rPr>
          <w:rFonts w:ascii="Calibri" w:cs="Calibri" w:eastAsia="Calibri" w:hAnsi="Calibri"/>
          <w:b/>
          <w:bCs/>
          <w:color w:val="3A4A61"/>
          <w:sz w:val="21"/>
          <w:szCs w:val="21"/>
        </w:rPr>
        <w:t xml:space="preserve">Ön değerlendirme:</w:t>
      </w:r>
      <w:r>
        <w:rPr>
          <w:rFonts w:ascii="Calibri" w:cs="Calibri" w:eastAsia="Calibri" w:hAnsi="Calibri"/>
          <w:color w:val="3A4A61"/>
          <w:sz w:val="21"/>
          <w:szCs w:val="21"/>
        </w:rPr>
        <w:t xml:space="preserve"> Bildirimin politika kapsamında olup olmadığı ve geçici önlem gerekip gerekmediği değerlendirilir.</w:t>
      </w:r>
    </w:p>
    <w:p>
      <w:pPr>
        <w:pStyle w:val="ListParagraph"/>
        <w:numPr>
          <w:ilvl w:val="0"/>
          <w:numId w:val="3"/>
        </w:numPr>
        <w:spacing w:after="80" w:line="290"/>
      </w:pPr>
      <w:r>
        <w:rPr>
          <w:rFonts w:ascii="Calibri" w:cs="Calibri" w:eastAsia="Calibri" w:hAnsi="Calibri"/>
          <w:b/>
          <w:bCs/>
          <w:color w:val="3A4A61"/>
          <w:sz w:val="21"/>
          <w:szCs w:val="21"/>
        </w:rPr>
        <w:t xml:space="preserve">İnceleme komitesi:</w:t>
      </w:r>
      <w:r>
        <w:rPr>
          <w:rFonts w:ascii="Calibri" w:cs="Calibri" w:eastAsia="Calibri" w:hAnsi="Calibri"/>
          <w:color w:val="3A4A61"/>
          <w:sz w:val="21"/>
          <w:szCs w:val="21"/>
        </w:rPr>
        <w:t xml:space="preserve"> Taraflarla hiyerarşik veya kişisel bağı bulunmayan, en az </w:t>
      </w:r>
      <w:r>
        <w:rPr>
          <w:rFonts w:ascii="Calibri" w:cs="Calibri" w:eastAsia="Calibri" w:hAnsi="Calibri"/>
          <w:color w:val="1D5888"/>
          <w:sz w:val="21"/>
          <w:szCs w:val="21"/>
          <w:shd w:fill="EAF1F8" w:color="auto" w:val="clear"/>
        </w:rPr>
        <w:t xml:space="preserve">[kişi sayısı]</w:t>
      </w:r>
      <w:r>
        <w:rPr>
          <w:rFonts w:ascii="Calibri" w:cs="Calibri" w:eastAsia="Calibri" w:hAnsi="Calibri"/>
          <w:color w:val="3A4A61"/>
          <w:sz w:val="21"/>
          <w:szCs w:val="21"/>
        </w:rPr>
        <w:t xml:space="preserve"> üyeden oluşan bir komite görevlendirilir. Cinsel taciz bildirimlerinde komitede mümkün olduğunca farklı cinsiyetten üyelerin yer alması sağlanır. Çıkar çatışması bulunan üye komiteden çekilir.</w:t>
      </w:r>
    </w:p>
    <w:p>
      <w:pPr>
        <w:pStyle w:val="ListParagraph"/>
        <w:numPr>
          <w:ilvl w:val="0"/>
          <w:numId w:val="3"/>
        </w:numPr>
        <w:spacing w:after="80" w:line="290"/>
      </w:pPr>
      <w:r>
        <w:rPr>
          <w:rFonts w:ascii="Calibri" w:cs="Calibri" w:eastAsia="Calibri" w:hAnsi="Calibri"/>
          <w:b/>
          <w:bCs/>
          <w:color w:val="3A4A61"/>
          <w:sz w:val="21"/>
          <w:szCs w:val="21"/>
        </w:rPr>
        <w:t xml:space="preserve">Dinleme ve deliller:</w:t>
      </w:r>
      <w:r>
        <w:rPr>
          <w:rFonts w:ascii="Calibri" w:cs="Calibri" w:eastAsia="Calibri" w:hAnsi="Calibri"/>
          <w:color w:val="3A4A61"/>
          <w:sz w:val="21"/>
          <w:szCs w:val="21"/>
        </w:rPr>
        <w:t xml:space="preserve"> Bildirimci, hakkında bildirim yapılan kişi ve tanıklar ayrı ayrı dinlenir; beyanlar tutanağa bağlanır ve imzalatılır. E-posta, mesaj, kayıt gibi deliller toplanır.</w:t>
      </w:r>
    </w:p>
    <w:p>
      <w:pPr>
        <w:pStyle w:val="ListParagraph"/>
        <w:numPr>
          <w:ilvl w:val="0"/>
          <w:numId w:val="3"/>
        </w:numPr>
        <w:spacing w:after="80" w:line="290"/>
      </w:pPr>
      <w:r>
        <w:rPr>
          <w:rFonts w:ascii="Calibri" w:cs="Calibri" w:eastAsia="Calibri" w:hAnsi="Calibri"/>
          <w:b/>
          <w:bCs/>
          <w:color w:val="3A4A61"/>
          <w:sz w:val="21"/>
          <w:szCs w:val="21"/>
        </w:rPr>
        <w:t xml:space="preserve">Savunma:</w:t>
      </w:r>
      <w:r>
        <w:rPr>
          <w:rFonts w:ascii="Calibri" w:cs="Calibri" w:eastAsia="Calibri" w:hAnsi="Calibri"/>
          <w:color w:val="3A4A61"/>
          <w:sz w:val="21"/>
          <w:szCs w:val="21"/>
        </w:rPr>
        <w:t xml:space="preserve"> Hakkında bildirim yapılan kişiye iddialar yazılı olarak bildirilir ve savunma yapması için makul süre tanınır.</w:t>
      </w:r>
    </w:p>
    <w:p>
      <w:pPr>
        <w:pStyle w:val="ListParagraph"/>
        <w:numPr>
          <w:ilvl w:val="0"/>
          <w:numId w:val="3"/>
        </w:numPr>
        <w:spacing w:after="80" w:line="290"/>
      </w:pPr>
      <w:r>
        <w:rPr>
          <w:rFonts w:ascii="Calibri" w:cs="Calibri" w:eastAsia="Calibri" w:hAnsi="Calibri"/>
          <w:b/>
          <w:bCs/>
          <w:color w:val="3A4A61"/>
          <w:sz w:val="21"/>
          <w:szCs w:val="21"/>
        </w:rPr>
        <w:t xml:space="preserve">Süre:</w:t>
      </w:r>
      <w:r>
        <w:rPr>
          <w:rFonts w:ascii="Calibri" w:cs="Calibri" w:eastAsia="Calibri" w:hAnsi="Calibri"/>
          <w:color w:val="3A4A61"/>
          <w:sz w:val="21"/>
          <w:szCs w:val="21"/>
        </w:rPr>
        <w:t xml:space="preserve"> İnceleme, mümkün olan en kısa sürede ve en geç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 içinde tamamlanır; uzaması halinde taraflara bilgi verilir.</w:t>
      </w:r>
    </w:p>
    <w:p>
      <w:pPr>
        <w:pStyle w:val="ListParagraph"/>
        <w:numPr>
          <w:ilvl w:val="0"/>
          <w:numId w:val="3"/>
        </w:numPr>
        <w:spacing w:after="80" w:line="290"/>
      </w:pPr>
      <w:r>
        <w:rPr>
          <w:rFonts w:ascii="Calibri" w:cs="Calibri" w:eastAsia="Calibri" w:hAnsi="Calibri"/>
          <w:b/>
          <w:bCs/>
          <w:color w:val="3A4A61"/>
          <w:sz w:val="21"/>
          <w:szCs w:val="21"/>
        </w:rPr>
        <w:t xml:space="preserve">Rapor ve karar:</w:t>
      </w:r>
      <w:r>
        <w:rPr>
          <w:rFonts w:ascii="Calibri" w:cs="Calibri" w:eastAsia="Calibri" w:hAnsi="Calibri"/>
          <w:color w:val="3A4A61"/>
          <w:sz w:val="21"/>
          <w:szCs w:val="21"/>
        </w:rPr>
        <w:t xml:space="preserve"> Komite bulgularını ve önerilerini yazılı rapor halinde </w:t>
      </w:r>
      <w:r>
        <w:rPr>
          <w:rFonts w:ascii="Calibri" w:cs="Calibri" w:eastAsia="Calibri" w:hAnsi="Calibri"/>
          <w:color w:val="1D5888"/>
          <w:sz w:val="21"/>
          <w:szCs w:val="21"/>
          <w:shd w:fill="EAF1F8" w:color="auto" w:val="clear"/>
        </w:rPr>
        <w:t xml:space="preserve">[Karar Mercii]</w:t>
      </w:r>
      <w:r>
        <w:rPr>
          <w:rFonts w:ascii="Calibri" w:cs="Calibri" w:eastAsia="Calibri" w:hAnsi="Calibri"/>
          <w:color w:val="3A4A61"/>
          <w:sz w:val="21"/>
          <w:szCs w:val="21"/>
        </w:rPr>
        <w:t xml:space="preserve">'ne sunar. Karar, taraflara ayrı ayrı ve gizlilik gözetilerek yazılı olarak bildirilir.</w:t>
      </w:r>
    </w:p>
    <w:p>
      <w:pPr>
        <w:pStyle w:val="ListParagraph"/>
        <w:numPr>
          <w:ilvl w:val="0"/>
          <w:numId w:val="3"/>
        </w:numPr>
        <w:spacing w:after="80" w:line="290"/>
      </w:pPr>
      <w:r>
        <w:rPr>
          <w:rFonts w:ascii="Calibri" w:cs="Calibri" w:eastAsia="Calibri" w:hAnsi="Calibri"/>
          <w:b/>
          <w:bCs/>
          <w:color w:val="3A4A61"/>
          <w:sz w:val="21"/>
          <w:szCs w:val="21"/>
        </w:rPr>
        <w:t xml:space="preserve">Takip:</w:t>
      </w:r>
      <w:r>
        <w:rPr>
          <w:rFonts w:ascii="Calibri" w:cs="Calibri" w:eastAsia="Calibri" w:hAnsi="Calibri"/>
          <w:color w:val="3A4A61"/>
          <w:sz w:val="21"/>
          <w:szCs w:val="21"/>
        </w:rPr>
        <w:t xml:space="preserve"> Karardan sonra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boyunca bildirimcinin durumu ve misilleme olup olmadığı İK tarafından izlenir.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Süre hatırlatması</w:t>
            </w:r>
          </w:p>
          <w:p>
            <w:pPr>
              <w:spacing w:after="20" w:line="280"/>
            </w:pPr>
            <w:r>
              <w:rPr>
                <w:rFonts w:ascii="Calibri" w:cs="Calibri" w:eastAsia="Calibri" w:hAnsi="Calibri"/>
                <w:color w:val="3A4A61"/>
                <w:sz w:val="19"/>
                <w:szCs w:val="19"/>
              </w:rPr>
              <w:t xml:space="preserve">İşverenin ahlak ve iyi niyet kurallarına aykırı davranış nedeniyle haklı fesih hakkı, olayı öğrendiği günden itibaren 6 iş günü ve her halde fiilin gerçekleşmesinden itibaren 1 yıl içinde kullanılmalıdır (İş Kanunu md. 26). İnceleme, bu süreler gözetilerek planlanmalıdır.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Geçici Önlemler</w:t>
      </w:r>
    </w:p>
    <w:p>
      <w:pPr>
        <w:spacing w:after="120" w:before="0" w:line="300"/>
        <w:jc w:val="both"/>
      </w:pPr>
      <w:r>
        <w:rPr>
          <w:rFonts w:ascii="Calibri" w:cs="Calibri" w:eastAsia="Calibri" w:hAnsi="Calibri"/>
          <w:color w:val="3A4A61"/>
          <w:sz w:val="21"/>
          <w:szCs w:val="21"/>
        </w:rPr>
        <w:t xml:space="preserve">İnceleme süresince, bildirimcinin korunması amacıyla ve onun rızası gözetilerek; tarafların çalışma alanlarının veya vardiyalarının ayrılması, raporlama ilişkisinin geçici olarak değiştirilmesi, uzaktan çalışma imkânı sağlanması gibi önlemler alınabilir. Bu önlemler bildirimcinin aleyhine sonuç doğuracak şekilde uygulanmaz ve bir yaptırım niteliği taşımaz.</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Gizlilik ve Kişisel Veriler</w:t>
      </w:r>
    </w:p>
    <w:p>
      <w:pPr>
        <w:spacing w:after="120" w:before="0" w:line="300"/>
        <w:jc w:val="both"/>
      </w:pPr>
      <w:r>
        <w:rPr>
          <w:rFonts w:ascii="Calibri" w:cs="Calibri" w:eastAsia="Calibri" w:hAnsi="Calibri"/>
          <w:color w:val="3A4A61"/>
          <w:sz w:val="21"/>
          <w:szCs w:val="21"/>
        </w:rPr>
        <w:t xml:space="preserve">Bildirim ve inceleme süreci, yalnızca bilmesi gereken kişilerle paylaşılarak gizli yürütülür. İnceleme kayıtları ayrı ve erişimi kısıtlı bir dosyada saklanır; kişisel veriler 6698 sayılı Kanun'a ve Şirketin saklama ve imha politikasına uygun olarak işlenir. Gizliliğin ihlali ayrıca disiplin konusu olabilir.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Misillemenin Yasaklanması</w:t>
      </w:r>
    </w:p>
    <w:p>
      <w:pPr>
        <w:spacing w:after="120" w:before="0" w:line="300"/>
        <w:jc w:val="both"/>
      </w:pPr>
      <w:r>
        <w:rPr>
          <w:rFonts w:ascii="Calibri" w:cs="Calibri" w:eastAsia="Calibri" w:hAnsi="Calibri"/>
          <w:color w:val="3A4A61"/>
          <w:sz w:val="21"/>
          <w:szCs w:val="21"/>
        </w:rPr>
        <w:t xml:space="preserve">İyi niyetle bildirimde bulunan, incelemeye tanıklık eden veya bilgi veren hiçbir kişi; bu nedenle işten çıkarma, görev değişikliği, performans notunun düşürülmesi, terfi veya eğitimden mahrum bırakma, dışlama ya da başka bir olumsuz muameleyle karşılaşamaz. Misilleme, başlı başına ağır bir disiplin ihlali olarak değerlendirilir.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Yaptırımlar</w:t>
      </w:r>
    </w:p>
    <w:p>
      <w:pPr>
        <w:spacing w:after="120" w:before="0" w:line="300"/>
        <w:jc w:val="both"/>
      </w:pPr>
      <w:r>
        <w:rPr>
          <w:rFonts w:ascii="Calibri" w:cs="Calibri" w:eastAsia="Calibri" w:hAnsi="Calibri"/>
          <w:color w:val="3A4A61"/>
          <w:sz w:val="21"/>
          <w:szCs w:val="21"/>
        </w:rPr>
        <w:t xml:space="preserve">İnceleme sonucunda politikaya aykırı davranışın tespiti halinde, davranışın niteliği ve ağırlığına göre Şirket disiplin yönetmeliği ve İş Kanunu çerçevesinde; yazılı uyarı, görev veya birim değişikliği, eğitim yükümlülüğü ve iş sözleşmesinin feshine kadar varan yaptırımlar uygulanabilir. Davranış Şirket dışından bir kişi tarafından gerçekleştirilmişse, ilgili sözleşme ilişkisi kapsamında gerekli önlemler alınır.</w:t>
      </w:r>
    </w:p>
    <w:p>
      <w:pPr>
        <w:spacing w:after="120" w:before="0" w:line="300"/>
        <w:jc w:val="both"/>
      </w:pPr>
      <w:r>
        <w:rPr>
          <w:rFonts w:ascii="Calibri" w:cs="Calibri" w:eastAsia="Calibri" w:hAnsi="Calibri"/>
          <w:color w:val="3A4A61"/>
          <w:sz w:val="21"/>
          <w:szCs w:val="21"/>
        </w:rPr>
        <w:t xml:space="preserve">Gerçek dışı olduğunu bile bile ve kötü niyetle yapılan bildirimler disiplin sürecine konu olabilir. İddianın ispatlanamamış olması tek başına bildirimin kötü niyetli olduğu anlamına gelmez.</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Destek</w:t>
      </w:r>
    </w:p>
    <w:p>
      <w:pPr>
        <w:spacing w:after="120" w:before="0" w:line="300"/>
        <w:jc w:val="both"/>
      </w:pPr>
      <w:r>
        <w:rPr>
          <w:rFonts w:ascii="Calibri" w:cs="Calibri" w:eastAsia="Calibri" w:hAnsi="Calibri"/>
          <w:color w:val="3A4A61"/>
          <w:sz w:val="21"/>
          <w:szCs w:val="21"/>
        </w:rPr>
        <w:t xml:space="preserve">Şirket, bildirimci ve etkilenen çalışanlara gerektiğinde işyeri hekimi, </w:t>
      </w:r>
      <w:r>
        <w:rPr>
          <w:rFonts w:ascii="Calibri" w:cs="Calibri" w:eastAsia="Calibri" w:hAnsi="Calibri"/>
          <w:color w:val="1D5888"/>
          <w:sz w:val="21"/>
          <w:szCs w:val="21"/>
          <w:shd w:fill="EAF1F8" w:color="auto" w:val="clear"/>
        </w:rPr>
        <w:t xml:space="preserve">[çalışan destek programı / psikolojik danışmanlık hizmeti]</w:t>
      </w:r>
      <w:r>
        <w:rPr>
          <w:rFonts w:ascii="Calibri" w:cs="Calibri" w:eastAsia="Calibri" w:hAnsi="Calibri"/>
          <w:color w:val="3A4A61"/>
          <w:sz w:val="21"/>
          <w:szCs w:val="21"/>
        </w:rPr>
        <w:t xml:space="preserve"> aracılığıyla destek sağlar.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Eğitim ve Farkındalık</w:t>
      </w:r>
    </w:p>
    <w:p>
      <w:pPr>
        <w:spacing w:after="120" w:before="0" w:line="300"/>
        <w:jc w:val="both"/>
      </w:pPr>
      <w:r>
        <w:rPr>
          <w:rFonts w:ascii="Calibri" w:cs="Calibri" w:eastAsia="Calibri" w:hAnsi="Calibri"/>
          <w:color w:val="3A4A61"/>
          <w:sz w:val="21"/>
          <w:szCs w:val="21"/>
        </w:rPr>
        <w:t xml:space="preserve">Tüm çalışanlara işe girişte bu politika tebliğ edilir; yöneticilere ve inceleme komitesi üyelerine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mobbing, taciz ve ayrımcılığın önlenmesi ile adil inceleme yöntemleri konusunda eğitim verilir.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Gözden Geçirme ve Yürürlük</w:t>
      </w:r>
    </w:p>
    <w:p>
      <w:pPr>
        <w:spacing w:after="120" w:before="0" w:line="300"/>
        <w:jc w:val="both"/>
      </w:pPr>
      <w:r>
        <w:rPr>
          <w:rFonts w:ascii="Calibri" w:cs="Calibri" w:eastAsia="Calibri" w:hAnsi="Calibri"/>
          <w:color w:val="3A4A61"/>
          <w:sz w:val="21"/>
          <w:szCs w:val="21"/>
        </w:rPr>
        <w:t xml:space="preserve">Politika en az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ve mevzuattaki değişikliklerde gözden geçirilir. İnsan Kaynakları, isim ve ayrıntı içermeyen istatistiksel bilgilerle yönetime yıllık rapor sunar. Bu politika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yürürlüğe girer.</w:t>
      </w: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Tebellüğ Beyanı</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Mobbing ve Tacizi Önleme Politikası'nın bir örneğini teslim aldım, okudum ve anladım. Politikaya uygun davranacağımı, bildirim kanallarını ve inceleme usulünü bildiğimi beyan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KURUMSAL POLİTİKA</w:t>
          </w:r>
          <w:r>
            <w:rPr>
              <w:rFonts w:ascii="Calibri" w:cs="Calibri" w:eastAsia="Calibri" w:hAnsi="Calibri"/>
              <w:color w:val="8C9BB0"/>
              <w:sz w:val="16"/>
              <w:szCs w:val="16"/>
            </w:rPr>
            <w:t xml:space="preserve">  ·  Doküman No: [İK-POL-05]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Mobbing ve Tacizi Önleme Politikası</dc:title>
  <dc:creator>İK Partner</dc:creator>
  <dc:description>Mobbing ve Tacizi Önleme Politikası — İK Partner (ikpartner.com) ücretsiz İK şablonu</dc:description>
  <cp:lastModifiedBy>Un-named</cp:lastModifiedBy>
  <cp:revision>1</cp:revision>
  <dcterms:created xsi:type="dcterms:W3CDTF">2026-10-12T11:08:14.031Z</dcterms:created>
  <dcterms:modified xsi:type="dcterms:W3CDTF">2026-10-12T11:08:14.031Z</dcterms:modified>
</cp:coreProperties>
</file>

<file path=docProps/custom.xml><?xml version="1.0" encoding="utf-8"?>
<Properties xmlns="http://schemas.openxmlformats.org/officeDocument/2006/custom-properties" xmlns:vt="http://schemas.openxmlformats.org/officeDocument/2006/docPropsVTypes"/>
</file>