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Çalışan Kişisel Verilerinin İşlenmesine İlişkin Aydınlatma Metni</w:t>
      </w:r>
    </w:p>
    <w:p>
      <w:pPr>
        <w:pBdr>
          <w:bottom w:val="single" w:color="13B8A7" w:sz="12" w:space="8"/>
        </w:pBdr>
        <w:spacing w:after="220"/>
      </w:pPr>
      <w:r>
        <w:rPr>
          <w:rFonts w:ascii="Calibri" w:cs="Calibri" w:eastAsia="Calibri" w:hAnsi="Calibri"/>
          <w:color w:val="5A6B82"/>
          <w:sz w:val="21"/>
          <w:szCs w:val="21"/>
        </w:rPr>
        <w:t xml:space="preserve">6698 sayılı Kişisel Verilerin Korunması Kanunu md. 10 kapsamında çalışanlar için hazırlanmıştır.</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Veri Sorumlusu</w:t>
      </w:r>
    </w:p>
    <w:p>
      <w:pPr>
        <w:spacing w:after="120" w:before="0" w:line="300"/>
        <w:jc w:val="both"/>
      </w:pPr>
      <w:r>
        <w:rPr>
          <w:rFonts w:ascii="Calibri" w:cs="Calibri" w:eastAsia="Calibri" w:hAnsi="Calibri"/>
          <w:color w:val="3A4A61"/>
          <w:sz w:val="21"/>
          <w:szCs w:val="21"/>
        </w:rPr>
        <w:t xml:space="preserve">6698 sayılı Kişisel Verilerin Korunması Kanunu ("KVKK") uyarınca kişisel verileriniz; veri sorumlusu sıfatıyla </w:t>
      </w: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("Şirket") tarafından aşağıda açıklanan kapsamda işlenmektedir.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MERSİS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KEP Adresi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E-posta</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Bu metin; Şirket çalışanlarını ve işe başlamak üzere sözleşme imzalayan kişileri kapsar. Aday çalışanlar, stajyerler ve ziyaretçiler için ayrı aydınlatma metinleri kullanılır.</w:t>
      </w: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İşlenen Kişisel Veri Kategorileri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336"/>
        <w:gridCol w:w="7302"/>
      </w:tblGrid>
      <w:tr>
        <w:trPr>
          <w:cantSplit/>
          <w:trHeight w:val="400" w:hRule="atLeast"/>
        </w:trPr>
        <w:tc>
          <w:tcPr>
            <w:tcW w:type="dxa" w:w="233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Veri Kategorisi</w:t>
            </w:r>
          </w:p>
        </w:tc>
        <w:tc>
          <w:tcPr>
            <w:tcW w:type="dxa" w:w="73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Örnek Veriler</w:t>
            </w:r>
          </w:p>
        </w:tc>
      </w:tr>
      <w:tr>
        <w:trPr>
          <w:cantSplit/>
          <w:trHeight w:val="380" w:hRule="atLeast"/>
        </w:trPr>
        <w:tc>
          <w:tcPr>
            <w:tcW w:type="dxa" w:w="233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Kimlik</w:t>
            </w:r>
          </w:p>
        </w:tc>
        <w:tc>
          <w:tcPr>
            <w:tcW w:type="dxa" w:w="73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Ad soyad, T.C. kimlik numarası, doğum tarihi ve yeri, medeni hal, cinsiyet, kimlik kartı bilgileri</w:t>
            </w:r>
          </w:p>
        </w:tc>
      </w:tr>
      <w:tr>
        <w:trPr>
          <w:cantSplit/>
          <w:trHeight w:val="380" w:hRule="atLeast"/>
        </w:trPr>
        <w:tc>
          <w:tcPr>
            <w:tcW w:type="dxa" w:w="233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İletişim</w:t>
            </w:r>
          </w:p>
        </w:tc>
        <w:tc>
          <w:tcPr>
            <w:tcW w:type="dxa" w:w="73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Adres, telefon numarası, e-posta adresi, acil durumda ulaşılacak kişi bilgileri</w:t>
            </w:r>
          </w:p>
        </w:tc>
      </w:tr>
      <w:tr>
        <w:trPr>
          <w:cantSplit/>
          <w:trHeight w:val="380" w:hRule="atLeast"/>
        </w:trPr>
        <w:tc>
          <w:tcPr>
            <w:tcW w:type="dxa" w:w="233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Özlük</w:t>
            </w:r>
          </w:p>
        </w:tc>
        <w:tc>
          <w:tcPr>
            <w:tcW w:type="dxa" w:w="73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sözleşmesi, işe giriş-çıkış belgeleri, görev, unvan, departman, performans ve eğitim kayıtları, disiplin kayıtları, çalışma belgesi</w:t>
            </w:r>
          </w:p>
        </w:tc>
      </w:tr>
      <w:tr>
        <w:trPr>
          <w:cantSplit/>
          <w:trHeight w:val="380" w:hRule="atLeast"/>
        </w:trPr>
        <w:tc>
          <w:tcPr>
            <w:tcW w:type="dxa" w:w="233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Finans</w:t>
            </w:r>
          </w:p>
        </w:tc>
        <w:tc>
          <w:tcPr>
            <w:tcW w:type="dxa" w:w="73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Banka hesap bilgileri (IBAN), ücret ve bordro bilgileri, avans, icra kesintisi bilgileri</w:t>
            </w:r>
          </w:p>
        </w:tc>
      </w:tr>
      <w:tr>
        <w:trPr>
          <w:cantSplit/>
          <w:trHeight w:val="380" w:hRule="atLeast"/>
        </w:trPr>
        <w:tc>
          <w:tcPr>
            <w:tcW w:type="dxa" w:w="233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Mesleki deneyim</w:t>
            </w:r>
          </w:p>
        </w:tc>
        <w:tc>
          <w:tcPr>
            <w:tcW w:type="dxa" w:w="73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 durumu, diploma ve sertifikalar, önceki iş deneyimleri, yabancı dil bilgisi</w:t>
            </w:r>
          </w:p>
        </w:tc>
      </w:tr>
      <w:tr>
        <w:trPr>
          <w:cantSplit/>
          <w:trHeight w:val="380" w:hRule="atLeast"/>
        </w:trPr>
        <w:tc>
          <w:tcPr>
            <w:tcW w:type="dxa" w:w="233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Fiziksel mekân güvenliği</w:t>
            </w:r>
          </w:p>
        </w:tc>
        <w:tc>
          <w:tcPr>
            <w:tcW w:type="dxa" w:w="73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Kamera kayıtları, işyeri giriş-çıkış kayıtları</w:t>
            </w:r>
          </w:p>
        </w:tc>
      </w:tr>
      <w:tr>
        <w:trPr>
          <w:cantSplit/>
          <w:trHeight w:val="380" w:hRule="atLeast"/>
        </w:trPr>
        <w:tc>
          <w:tcPr>
            <w:tcW w:type="dxa" w:w="233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İşlem güvenliği</w:t>
            </w:r>
          </w:p>
        </w:tc>
        <w:tc>
          <w:tcPr>
            <w:tcW w:type="dxa" w:w="73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Kurumsal sistemlere erişim kayıtları, kullanıcı adı, IP adresi ve log kayıtları</w:t>
            </w:r>
          </w:p>
        </w:tc>
      </w:tr>
      <w:tr>
        <w:trPr>
          <w:cantSplit/>
          <w:trHeight w:val="380" w:hRule="atLeast"/>
        </w:trPr>
        <w:tc>
          <w:tcPr>
            <w:tcW w:type="dxa" w:w="233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Özel nitelikli veriler</w:t>
            </w:r>
          </w:p>
        </w:tc>
        <w:tc>
          <w:tcPr>
            <w:tcW w:type="dxa" w:w="73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Sağlık raporları, işe giriş ve periyodik muayene sonuçları, engellilik durumu, adli sicil kaydı (yalnızca kanunen gerekli görevlerde), </w:t>
            </w:r>
            <w:r>
              <w:rPr>
                <w:rFonts w:ascii="Calibri" w:cs="Calibri" w:eastAsia="Calibri" w:hAnsi="Calibri"/>
                <w:color w:val="1D5888"/>
                <w:sz w:val="19"/>
                <w:szCs w:val="19"/>
                <w:shd w:fill="EAF1F8" w:color="auto" w:val="clear"/>
              </w:rPr>
              <w:t xml:space="preserve">[işyerine özgü diğer veriler]</w:t>
            </w:r>
          </w:p>
        </w:tc>
      </w:tr>
      <w:tr>
        <w:trPr>
          <w:cantSplit/>
          <w:trHeight w:val="380" w:hRule="atLeast"/>
        </w:trPr>
        <w:tc>
          <w:tcPr>
            <w:tcW w:type="dxa" w:w="233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Görsel kayıtlar</w:t>
            </w:r>
          </w:p>
        </w:tc>
        <w:tc>
          <w:tcPr>
            <w:tcW w:type="dxa" w:w="73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Personel kartı fotoğrafı</w:t>
            </w:r>
          </w:p>
        </w:tc>
      </w:tr>
      <w:tr>
        <w:trPr>
          <w:cantSplit/>
          <w:trHeight w:val="380" w:hRule="atLeast"/>
        </w:trPr>
        <w:tc>
          <w:tcPr>
            <w:tcW w:type="dxa" w:w="2336"/>
            <w:shd w:fill="F5F8FB" w:color="auto" w:val="clear"/>
            <w:tcMar>
              <w:top w:type="dxa" w:w="60"/>
              <w:left w:type="dxa" w:w="110"/>
              <w:bottom w:type="dxa" w:w="60"/>
              <w:right w:type="dxa" w:w="110"/>
            </w:tcMar>
            <w:vAlign w:val="center"/>
          </w:tcPr>
          <w:p>
            <w:pPr>
              <w:spacing w:before="40" w:after="40"/>
            </w:pPr>
          </w:p>
        </w:tc>
        <w:tc>
          <w:tcPr>
            <w:tcW w:type="dxa" w:w="7302"/>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Kişisel Verilerin İşlenme Amaçları</w:t>
      </w:r>
    </w:p>
    <w:p>
      <w:pPr>
        <w:spacing w:after="120" w:before="0" w:line="300"/>
        <w:jc w:val="both"/>
      </w:pPr>
      <w:r>
        <w:rPr>
          <w:rFonts w:ascii="Calibri" w:cs="Calibri" w:eastAsia="Calibri" w:hAnsi="Calibri"/>
          <w:color w:val="3A4A61"/>
          <w:sz w:val="21"/>
          <w:szCs w:val="21"/>
        </w:rPr>
        <w:t xml:space="preserve">Kişisel verileriniz aşağıdaki amaçlarla, bu amaçlarla bağlantılı, sınırlı ve ölçülü olarak işlenir:</w:t>
      </w:r>
    </w:p>
    <w:p>
      <w:pPr>
        <w:pStyle w:val="ListParagraph"/>
        <w:numPr>
          <w:ilvl w:val="0"/>
          <w:numId w:val="2"/>
        </w:numPr>
        <w:spacing w:after="80" w:line="290"/>
      </w:pPr>
      <w:r>
        <w:rPr>
          <w:rFonts w:ascii="Calibri" w:cs="Calibri" w:eastAsia="Calibri" w:hAnsi="Calibri"/>
          <w:color w:val="3A4A61"/>
          <w:sz w:val="21"/>
          <w:szCs w:val="21"/>
        </w:rPr>
        <w:t xml:space="preserve">İş sözleşmesinin kurulması, yürütülmesi ve sona erdirilmesi süreçlerinin yürütülmesi</w:t>
      </w:r>
    </w:p>
    <w:p>
      <w:pPr>
        <w:pStyle w:val="ListParagraph"/>
        <w:numPr>
          <w:ilvl w:val="0"/>
          <w:numId w:val="2"/>
        </w:numPr>
        <w:spacing w:after="80" w:line="290"/>
      </w:pPr>
      <w:r>
        <w:rPr>
          <w:rFonts w:ascii="Calibri" w:cs="Calibri" w:eastAsia="Calibri" w:hAnsi="Calibri"/>
          <w:color w:val="3A4A61"/>
          <w:sz w:val="21"/>
          <w:szCs w:val="21"/>
        </w:rPr>
        <w:t xml:space="preserve">Ücret, bordro, yan hak ve masraf ödemelerinin yapılması</w:t>
      </w:r>
    </w:p>
    <w:p>
      <w:pPr>
        <w:pStyle w:val="ListParagraph"/>
        <w:numPr>
          <w:ilvl w:val="0"/>
          <w:numId w:val="2"/>
        </w:numPr>
        <w:spacing w:after="80" w:line="290"/>
      </w:pPr>
      <w:r>
        <w:rPr>
          <w:rFonts w:ascii="Calibri" w:cs="Calibri" w:eastAsia="Calibri" w:hAnsi="Calibri"/>
          <w:color w:val="3A4A61"/>
          <w:sz w:val="21"/>
          <w:szCs w:val="21"/>
        </w:rPr>
        <w:t xml:space="preserve">SGK, vergi ve diğer kamu kurumlarına karşı yasal bildirim ve yükümlülüklerin yerine getirilmesi</w:t>
      </w:r>
    </w:p>
    <w:p>
      <w:pPr>
        <w:pStyle w:val="ListParagraph"/>
        <w:numPr>
          <w:ilvl w:val="0"/>
          <w:numId w:val="2"/>
        </w:numPr>
        <w:spacing w:after="80" w:line="290"/>
      </w:pPr>
      <w:r>
        <w:rPr>
          <w:rFonts w:ascii="Calibri" w:cs="Calibri" w:eastAsia="Calibri" w:hAnsi="Calibri"/>
          <w:color w:val="3A4A61"/>
          <w:sz w:val="21"/>
          <w:szCs w:val="21"/>
        </w:rPr>
        <w:t xml:space="preserve">Özlük dosyasının oluşturulması ve mevzuatta öngörülen sürelerle saklanması</w:t>
      </w:r>
    </w:p>
    <w:p>
      <w:pPr>
        <w:pStyle w:val="ListParagraph"/>
        <w:numPr>
          <w:ilvl w:val="0"/>
          <w:numId w:val="2"/>
        </w:numPr>
        <w:spacing w:after="80" w:line="290"/>
      </w:pPr>
      <w:r>
        <w:rPr>
          <w:rFonts w:ascii="Calibri" w:cs="Calibri" w:eastAsia="Calibri" w:hAnsi="Calibri"/>
          <w:color w:val="3A4A61"/>
          <w:sz w:val="21"/>
          <w:szCs w:val="21"/>
        </w:rPr>
        <w:t xml:space="preserve">İş sağlığı ve güvenliği yükümlülüklerinin yerine getirilmesi; sağlık gözetimi, eğitim ve iş kazası süreçlerinin yürütülmesi</w:t>
      </w:r>
    </w:p>
    <w:p>
      <w:pPr>
        <w:pStyle w:val="ListParagraph"/>
        <w:numPr>
          <w:ilvl w:val="0"/>
          <w:numId w:val="2"/>
        </w:numPr>
        <w:spacing w:after="80" w:line="290"/>
      </w:pPr>
      <w:r>
        <w:rPr>
          <w:rFonts w:ascii="Calibri" w:cs="Calibri" w:eastAsia="Calibri" w:hAnsi="Calibri"/>
          <w:color w:val="3A4A61"/>
          <w:sz w:val="21"/>
          <w:szCs w:val="21"/>
        </w:rPr>
        <w:t xml:space="preserve">Çalışma sürelerinin, izinlerin ve devamın takibi</w:t>
      </w:r>
    </w:p>
    <w:p>
      <w:pPr>
        <w:pStyle w:val="ListParagraph"/>
        <w:numPr>
          <w:ilvl w:val="0"/>
          <w:numId w:val="2"/>
        </w:numPr>
        <w:spacing w:after="80" w:line="290"/>
      </w:pPr>
      <w:r>
        <w:rPr>
          <w:rFonts w:ascii="Calibri" w:cs="Calibri" w:eastAsia="Calibri" w:hAnsi="Calibri"/>
          <w:color w:val="3A4A61"/>
          <w:sz w:val="21"/>
          <w:szCs w:val="21"/>
        </w:rPr>
        <w:t xml:space="preserve">Performans değerlendirme, eğitim ve kariyer gelişimi süreçlerinin yürütülmesi</w:t>
      </w:r>
    </w:p>
    <w:p>
      <w:pPr>
        <w:pStyle w:val="ListParagraph"/>
        <w:numPr>
          <w:ilvl w:val="0"/>
          <w:numId w:val="2"/>
        </w:numPr>
        <w:spacing w:after="80" w:line="290"/>
      </w:pPr>
      <w:r>
        <w:rPr>
          <w:rFonts w:ascii="Calibri" w:cs="Calibri" w:eastAsia="Calibri" w:hAnsi="Calibri"/>
          <w:color w:val="3A4A61"/>
          <w:sz w:val="21"/>
          <w:szCs w:val="21"/>
        </w:rPr>
        <w:t xml:space="preserve">Bilgi güvenliği, fiziksel mekân güvenliği ve denetim faaliyetlerinin yürütülmesi</w:t>
      </w:r>
    </w:p>
    <w:p>
      <w:pPr>
        <w:pStyle w:val="ListParagraph"/>
        <w:numPr>
          <w:ilvl w:val="0"/>
          <w:numId w:val="2"/>
        </w:numPr>
        <w:spacing w:after="80" w:line="290"/>
      </w:pPr>
      <w:r>
        <w:rPr>
          <w:rFonts w:ascii="Calibri" w:cs="Calibri" w:eastAsia="Calibri" w:hAnsi="Calibri"/>
          <w:color w:val="3A4A61"/>
          <w:sz w:val="21"/>
          <w:szCs w:val="21"/>
        </w:rPr>
        <w:t xml:space="preserve">Yetkili kurum ve kuruluşlardan gelen bilgi taleplerinin karşılanması, hukuki uyuşmazlıklarda hakların korunması</w:t>
      </w: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Kişisel Veri Toplama Yöntemi ve Hukuki Sebepler</w:t>
      </w:r>
    </w:p>
    <w:p>
      <w:pPr>
        <w:spacing w:after="120" w:before="0" w:line="300"/>
        <w:jc w:val="both"/>
      </w:pPr>
      <w:r>
        <w:rPr>
          <w:rFonts w:ascii="Calibri" w:cs="Calibri" w:eastAsia="Calibri" w:hAnsi="Calibri"/>
          <w:color w:val="3A4A61"/>
          <w:sz w:val="21"/>
          <w:szCs w:val="21"/>
        </w:rPr>
        <w:t xml:space="preserve">Kişisel verileriniz; işe giriş sürecinde tarafınızca doldurulan formlar ve teslim ettiğiniz belgeler, İK yazılımı ve kurumsal sistemler, kamera ve giriş-çıkış kontrol sistemleri, işyeri hekimi ve OSGB kayıtları ile kamu kurumlarının elektronik sistemleri aracılığıyla, kısmen veya tamamen otomatik yollarla ya da veri kayıt sisteminin parçası olmak kaydıyla otomatik olmayan yollarla toplanır.</w:t>
      </w:r>
    </w:p>
    <w:p>
      <w:pPr>
        <w:spacing w:after="120" w:before="0" w:line="300"/>
        <w:jc w:val="both"/>
      </w:pPr>
      <w:r>
        <w:rPr>
          <w:rFonts w:ascii="Calibri" w:cs="Calibri" w:eastAsia="Calibri" w:hAnsi="Calibri"/>
          <w:color w:val="3A4A61"/>
          <w:sz w:val="21"/>
          <w:szCs w:val="21"/>
        </w:rPr>
        <w:t xml:space="preserve">Kişisel verileriniz KVKK md. 5/2 kapsamında aşağıdaki hukuki sebeplere dayanılarak işlenir:</w:t>
      </w:r>
    </w:p>
    <w:p>
      <w:pPr>
        <w:pStyle w:val="ListParagraph"/>
        <w:numPr>
          <w:ilvl w:val="0"/>
          <w:numId w:val="2"/>
        </w:numPr>
        <w:spacing w:after="80" w:line="290"/>
      </w:pPr>
      <w:r>
        <w:rPr>
          <w:rFonts w:ascii="Calibri" w:cs="Calibri" w:eastAsia="Calibri" w:hAnsi="Calibri"/>
          <w:color w:val="3A4A61"/>
          <w:sz w:val="21"/>
          <w:szCs w:val="21"/>
        </w:rPr>
        <w:t xml:space="preserve">Kanunlarda açıkça öngörülmesi (ör. İş Kanunu, Sosyal Sigortalar ve Genel Sağlık Sigortası Kanunu, vergi mevzuatı, İş Sağlığı ve Güvenliği Kanunu)</w:t>
      </w:r>
    </w:p>
    <w:p>
      <w:pPr>
        <w:pStyle w:val="ListParagraph"/>
        <w:numPr>
          <w:ilvl w:val="0"/>
          <w:numId w:val="2"/>
        </w:numPr>
        <w:spacing w:after="80" w:line="290"/>
      </w:pPr>
      <w:r>
        <w:rPr>
          <w:rFonts w:ascii="Calibri" w:cs="Calibri" w:eastAsia="Calibri" w:hAnsi="Calibri"/>
          <w:color w:val="3A4A61"/>
          <w:sz w:val="21"/>
          <w:szCs w:val="21"/>
        </w:rPr>
        <w:t xml:space="preserve">İş sözleşmesinin kurulması veya ifasıyla doğrudan ilgili olması</w:t>
      </w:r>
    </w:p>
    <w:p>
      <w:pPr>
        <w:pStyle w:val="ListParagraph"/>
        <w:numPr>
          <w:ilvl w:val="0"/>
          <w:numId w:val="2"/>
        </w:numPr>
        <w:spacing w:after="80" w:line="290"/>
      </w:pPr>
      <w:r>
        <w:rPr>
          <w:rFonts w:ascii="Calibri" w:cs="Calibri" w:eastAsia="Calibri" w:hAnsi="Calibri"/>
          <w:color w:val="3A4A61"/>
          <w:sz w:val="21"/>
          <w:szCs w:val="21"/>
        </w:rPr>
        <w:t xml:space="preserve">Veri sorumlusunun hukuki yükümlülüğünü yerine getirebilmesi için zorunlu olması</w:t>
      </w:r>
    </w:p>
    <w:p>
      <w:pPr>
        <w:pStyle w:val="ListParagraph"/>
        <w:numPr>
          <w:ilvl w:val="0"/>
          <w:numId w:val="2"/>
        </w:numPr>
        <w:spacing w:after="80" w:line="290"/>
      </w:pPr>
      <w:r>
        <w:rPr>
          <w:rFonts w:ascii="Calibri" w:cs="Calibri" w:eastAsia="Calibri" w:hAnsi="Calibri"/>
          <w:color w:val="3A4A61"/>
          <w:sz w:val="21"/>
          <w:szCs w:val="21"/>
        </w:rPr>
        <w:t xml:space="preserve">Bir hakkın tesisi, kullanılması veya korunması için zorunlu olması</w:t>
      </w:r>
    </w:p>
    <w:p>
      <w:pPr>
        <w:pStyle w:val="ListParagraph"/>
        <w:numPr>
          <w:ilvl w:val="0"/>
          <w:numId w:val="2"/>
        </w:numPr>
        <w:spacing w:after="80" w:line="290"/>
      </w:pPr>
      <w:r>
        <w:rPr>
          <w:rFonts w:ascii="Calibri" w:cs="Calibri" w:eastAsia="Calibri" w:hAnsi="Calibri"/>
          <w:color w:val="3A4A61"/>
          <w:sz w:val="21"/>
          <w:szCs w:val="21"/>
        </w:rPr>
        <w:t xml:space="preserve">İlgili kişinin temel hak ve özgürlüklerine zarar vermemek kaydıyla, Şirketin meşru menfaatleri için zorunlu olması (ör. bilgi ve fiziksel güvenlik)</w:t>
      </w:r>
    </w:p>
    <w:p>
      <w:pPr>
        <w:spacing w:after="120" w:before="0" w:line="300"/>
        <w:jc w:val="both"/>
      </w:pPr>
      <w:r>
        <w:rPr>
          <w:rFonts w:ascii="Calibri" w:cs="Calibri" w:eastAsia="Calibri" w:hAnsi="Calibri"/>
          <w:color w:val="3A4A61"/>
          <w:sz w:val="21"/>
          <w:szCs w:val="21"/>
        </w:rPr>
        <w:t xml:space="preserve">Özel nitelikli kişisel verileriniz, KVKK md. 6'da öngörülen şartlar çerçevesinde; özellikle istihdam, iş sağlığı ve güvenliği ve sosyal güvenlik alanındaki hukuki yükümlülüklerin yerine getirilmesi için zorunlu olması ve kanunlarda açıkça öngörülmesi hukuki sebeplerine dayanılarak ve Kurul'un belirlediği yeterli önlemler alınarak işlenir. Açık rızaya dayanan veri işleme faaliyetleri için ayrıca açık rıza beyanınız alınır.</w:t>
      </w: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Kişisel Verilerin Aktarılması</w:t>
      </w:r>
    </w:p>
    <w:p>
      <w:pPr>
        <w:spacing w:after="120" w:before="0" w:line="300"/>
        <w:jc w:val="both"/>
      </w:pPr>
      <w:r>
        <w:rPr>
          <w:rFonts w:ascii="Calibri" w:cs="Calibri" w:eastAsia="Calibri" w:hAnsi="Calibri"/>
          <w:color w:val="3A4A61"/>
          <w:sz w:val="21"/>
          <w:szCs w:val="21"/>
        </w:rPr>
        <w:t xml:space="preserve">Kişisel verileriniz yukarıdaki amaçlarla sınırlı olarak ve KVKK md. 8 ve 9'da öngörülen şartlara uygun şekilde aşağıdaki alıcı gruplarına aktarılabilir: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672"/>
        <w:gridCol w:w="4966"/>
      </w:tblGrid>
      <w:tr>
        <w:trPr>
          <w:cantSplit/>
          <w:trHeight w:val="400" w:hRule="atLeast"/>
        </w:trPr>
        <w:tc>
          <w:tcPr>
            <w:tcW w:type="dxa" w:w="467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Alıcı Grubu</w:t>
            </w:r>
          </w:p>
        </w:tc>
        <w:tc>
          <w:tcPr>
            <w:tcW w:type="dxa" w:w="496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Aktarım Amacı</w:t>
            </w:r>
          </w:p>
        </w:tc>
      </w:tr>
      <w:tr>
        <w:trPr>
          <w:cantSplit/>
          <w:trHeight w:val="380" w:hRule="atLeast"/>
        </w:trPr>
        <w:tc>
          <w:tcPr>
            <w:tcW w:type="dxa" w:w="467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Yetkili kamu kurum ve kuruluşları (SGK, Gelir İdaresi, Çalışma ve Sosyal Güvenlik Bakanlığı, İŞKUR, yargı mercileri)</w:t>
            </w:r>
          </w:p>
        </w:tc>
        <w:tc>
          <w:tcPr>
            <w:tcW w:type="dxa" w:w="496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Yasal bildirim ve yükümlülüklerin yerine getirilmesi, bilgi taleplerinin karşılanması</w:t>
            </w:r>
          </w:p>
        </w:tc>
      </w:tr>
      <w:tr>
        <w:trPr>
          <w:cantSplit/>
          <w:trHeight w:val="380" w:hRule="atLeast"/>
        </w:trPr>
        <w:tc>
          <w:tcPr>
            <w:tcW w:type="dxa" w:w="467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Bankalar</w:t>
            </w:r>
          </w:p>
        </w:tc>
        <w:tc>
          <w:tcPr>
            <w:tcW w:type="dxa" w:w="496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 ve yan hak ödemelerinin yapılması</w:t>
            </w:r>
          </w:p>
        </w:tc>
      </w:tr>
      <w:tr>
        <w:trPr>
          <w:cantSplit/>
          <w:trHeight w:val="380" w:hRule="atLeast"/>
        </w:trPr>
        <w:tc>
          <w:tcPr>
            <w:tcW w:type="dxa" w:w="467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OSGB / işyeri hekimi / sağlık kuruluşları</w:t>
            </w:r>
          </w:p>
        </w:tc>
        <w:tc>
          <w:tcPr>
            <w:tcW w:type="dxa" w:w="496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sağlığı ve güvenliği hizmetlerinin yürütülmesi</w:t>
            </w:r>
          </w:p>
        </w:tc>
      </w:tr>
      <w:tr>
        <w:trPr>
          <w:cantSplit/>
          <w:trHeight w:val="380" w:hRule="atLeast"/>
        </w:trPr>
        <w:tc>
          <w:tcPr>
            <w:tcW w:type="dxa" w:w="467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Hizmet alınan tedarikçiler (bordro, İK yazılımı, servis, yemek, sigorta, hukuk ve mali müşavirlik)</w:t>
            </w:r>
          </w:p>
        </w:tc>
        <w:tc>
          <w:tcPr>
            <w:tcW w:type="dxa" w:w="496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Hizmetin sunulması; veri işleyen sıfatıyla ve sözleşmeyle sınırlı olarak</w:t>
            </w:r>
          </w:p>
        </w:tc>
      </w:tr>
      <w:tr>
        <w:trPr>
          <w:cantSplit/>
          <w:trHeight w:val="380" w:hRule="atLeast"/>
        </w:trPr>
        <w:tc>
          <w:tcPr>
            <w:tcW w:type="dxa" w:w="467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[Grup şirketleri / diğer alıcılar]</w:t>
            </w:r>
          </w:p>
        </w:tc>
        <w:tc>
          <w:tcPr>
            <w:tcW w:type="dxa" w:w="496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[Aktarım amacı]</w:t>
            </w:r>
          </w:p>
        </w:tc>
      </w:tr>
    </w:tbl>
    <w:p>
      <w:pPr>
        <w:spacing w:after="120" w:before="0"/>
      </w:pPr>
    </w:p>
    <w:p>
      <w:pPr>
        <w:spacing w:after="120" w:before="0" w:line="300"/>
        <w:jc w:val="both"/>
      </w:pPr>
      <w:r>
        <w:rPr>
          <w:rFonts w:ascii="Calibri" w:cs="Calibri" w:eastAsia="Calibri" w:hAnsi="Calibri"/>
          <w:color w:val="3A4A61"/>
          <w:sz w:val="21"/>
          <w:szCs w:val="21"/>
        </w:rPr>
        <w:t xml:space="preserve">Kişisel verilerinizin yurt dışına aktarılması söz konusu olduğunda (ör. sunucuları yurt dışında bulunan bulut hizmetleri), aktarım KVKK md. 9'da öngörülen usul ve güvencelere uygun olarak yapılır: [Yurt dışı aktarım yapılıyorsa ülke, alıcı ve dayanak bilgisi / yapılmıyorsa "Kişisel verileriniz yurt dışına aktarılmamaktadır."]</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Saklama Süresi</w:t>
      </w:r>
    </w:p>
    <w:p>
      <w:pPr>
        <w:spacing w:after="120" w:before="0" w:line="300"/>
        <w:jc w:val="both"/>
      </w:pPr>
      <w:r>
        <w:rPr>
          <w:rFonts w:ascii="Calibri" w:cs="Calibri" w:eastAsia="Calibri" w:hAnsi="Calibri"/>
          <w:color w:val="3A4A61"/>
          <w:sz w:val="21"/>
          <w:szCs w:val="21"/>
        </w:rPr>
        <w:t xml:space="preserve">Kişisel verileriniz, ilgili mevzuatta öngörülen veya işleme amacının gerektirdiği süre boyunca saklanır; bu sürenin sona ermesiyle Şirketin kişisel veri saklama ve imha politikasına uygun olarak silinir, yok edilir veya anonim hale getirilir.</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İlgili Kişi Olarak Haklarınız (KVKK md. 11)</w:t>
      </w:r>
    </w:p>
    <w:p>
      <w:pPr>
        <w:spacing w:after="120" w:before="0" w:line="300"/>
        <w:jc w:val="both"/>
      </w:pPr>
      <w:r>
        <w:rPr>
          <w:rFonts w:ascii="Calibri" w:cs="Calibri" w:eastAsia="Calibri" w:hAnsi="Calibri"/>
          <w:color w:val="3A4A61"/>
          <w:sz w:val="21"/>
          <w:szCs w:val="21"/>
        </w:rPr>
        <w:t xml:space="preserve">Şirkete başvurarak aşağıdaki haklarınızı kullanabilirsiniz:</w:t>
      </w:r>
    </w:p>
    <w:p>
      <w:pPr>
        <w:pStyle w:val="ListParagraph"/>
        <w:numPr>
          <w:ilvl w:val="0"/>
          <w:numId w:val="3"/>
        </w:numPr>
        <w:spacing w:after="80" w:line="290"/>
      </w:pPr>
      <w:r>
        <w:rPr>
          <w:rFonts w:ascii="Calibri" w:cs="Calibri" w:eastAsia="Calibri" w:hAnsi="Calibri"/>
          <w:color w:val="3A4A61"/>
          <w:sz w:val="21"/>
          <w:szCs w:val="21"/>
        </w:rPr>
        <w:t xml:space="preserve">Kişisel verilerinizin işlenip işlenmediğini öğrenme</w:t>
      </w:r>
    </w:p>
    <w:p>
      <w:pPr>
        <w:pStyle w:val="ListParagraph"/>
        <w:numPr>
          <w:ilvl w:val="0"/>
          <w:numId w:val="3"/>
        </w:numPr>
        <w:spacing w:after="80" w:line="290"/>
      </w:pPr>
      <w:r>
        <w:rPr>
          <w:rFonts w:ascii="Calibri" w:cs="Calibri" w:eastAsia="Calibri" w:hAnsi="Calibri"/>
          <w:color w:val="3A4A61"/>
          <w:sz w:val="21"/>
          <w:szCs w:val="21"/>
        </w:rPr>
        <w:t xml:space="preserve">Kişisel verileriniz işlenmişse buna ilişkin bilgi talep etme</w:t>
      </w:r>
    </w:p>
    <w:p>
      <w:pPr>
        <w:pStyle w:val="ListParagraph"/>
        <w:numPr>
          <w:ilvl w:val="0"/>
          <w:numId w:val="3"/>
        </w:numPr>
        <w:spacing w:after="80" w:line="290"/>
      </w:pPr>
      <w:r>
        <w:rPr>
          <w:rFonts w:ascii="Calibri" w:cs="Calibri" w:eastAsia="Calibri" w:hAnsi="Calibri"/>
          <w:color w:val="3A4A61"/>
          <w:sz w:val="21"/>
          <w:szCs w:val="21"/>
        </w:rPr>
        <w:t xml:space="preserve">Kişisel verilerinizin işlenme amacını ve bunların amacına uygun kullanılıp kullanılmadığını öğrenme</w:t>
      </w:r>
    </w:p>
    <w:p>
      <w:pPr>
        <w:pStyle w:val="ListParagraph"/>
        <w:numPr>
          <w:ilvl w:val="0"/>
          <w:numId w:val="3"/>
        </w:numPr>
        <w:spacing w:after="80" w:line="290"/>
      </w:pPr>
      <w:r>
        <w:rPr>
          <w:rFonts w:ascii="Calibri" w:cs="Calibri" w:eastAsia="Calibri" w:hAnsi="Calibri"/>
          <w:color w:val="3A4A61"/>
          <w:sz w:val="21"/>
          <w:szCs w:val="21"/>
        </w:rPr>
        <w:t xml:space="preserve">Yurt içinde veya yurt dışında kişisel verilerinizin aktarıldığı üçüncü kişileri bilme</w:t>
      </w:r>
    </w:p>
    <w:p>
      <w:pPr>
        <w:pStyle w:val="ListParagraph"/>
        <w:numPr>
          <w:ilvl w:val="0"/>
          <w:numId w:val="3"/>
        </w:numPr>
        <w:spacing w:after="80" w:line="290"/>
      </w:pPr>
      <w:r>
        <w:rPr>
          <w:rFonts w:ascii="Calibri" w:cs="Calibri" w:eastAsia="Calibri" w:hAnsi="Calibri"/>
          <w:color w:val="3A4A61"/>
          <w:sz w:val="21"/>
          <w:szCs w:val="21"/>
        </w:rPr>
        <w:t xml:space="preserve">Kişisel verilerinizin eksik veya yanlış işlenmiş olması halinde bunların düzeltilmesini isteme</w:t>
      </w:r>
    </w:p>
    <w:p>
      <w:pPr>
        <w:pStyle w:val="ListParagraph"/>
        <w:numPr>
          <w:ilvl w:val="0"/>
          <w:numId w:val="3"/>
        </w:numPr>
        <w:spacing w:after="80" w:line="290"/>
      </w:pPr>
      <w:r>
        <w:rPr>
          <w:rFonts w:ascii="Calibri" w:cs="Calibri" w:eastAsia="Calibri" w:hAnsi="Calibri"/>
          <w:color w:val="3A4A61"/>
          <w:sz w:val="21"/>
          <w:szCs w:val="21"/>
        </w:rPr>
        <w:t xml:space="preserve">KVKK md. 7'de öngörülen şartlar çerçevesinde kişisel verilerinizin silinmesini veya yok edilmesini isteme</w:t>
      </w:r>
    </w:p>
    <w:p>
      <w:pPr>
        <w:pStyle w:val="ListParagraph"/>
        <w:numPr>
          <w:ilvl w:val="0"/>
          <w:numId w:val="3"/>
        </w:numPr>
        <w:spacing w:after="80" w:line="290"/>
      </w:pPr>
      <w:r>
        <w:rPr>
          <w:rFonts w:ascii="Calibri" w:cs="Calibri" w:eastAsia="Calibri" w:hAnsi="Calibri"/>
          <w:color w:val="3A4A61"/>
          <w:sz w:val="21"/>
          <w:szCs w:val="21"/>
        </w:rPr>
        <w:t xml:space="preserve">Düzeltme, silme veya yok etme işlemlerinin kişisel verilerinizin aktarıldığı üçüncü kişilere bildirilmesini isteme</w:t>
      </w:r>
    </w:p>
    <w:p>
      <w:pPr>
        <w:pStyle w:val="ListParagraph"/>
        <w:numPr>
          <w:ilvl w:val="0"/>
          <w:numId w:val="3"/>
        </w:numPr>
        <w:spacing w:after="80" w:line="290"/>
      </w:pPr>
      <w:r>
        <w:rPr>
          <w:rFonts w:ascii="Calibri" w:cs="Calibri" w:eastAsia="Calibri" w:hAnsi="Calibri"/>
          <w:color w:val="3A4A61"/>
          <w:sz w:val="21"/>
          <w:szCs w:val="21"/>
        </w:rPr>
        <w:t xml:space="preserve">İşlenen verilerin münhasıran otomatik sistemler vasıtasıyla analiz edilmesi suretiyle aleyhinize bir sonucun ortaya çıkmasına itiraz etme</w:t>
      </w:r>
    </w:p>
    <w:p>
      <w:pPr>
        <w:pStyle w:val="ListParagraph"/>
        <w:numPr>
          <w:ilvl w:val="0"/>
          <w:numId w:val="3"/>
        </w:numPr>
        <w:spacing w:after="80" w:line="290"/>
      </w:pPr>
      <w:r>
        <w:rPr>
          <w:rFonts w:ascii="Calibri" w:cs="Calibri" w:eastAsia="Calibri" w:hAnsi="Calibri"/>
          <w:color w:val="3A4A61"/>
          <w:sz w:val="21"/>
          <w:szCs w:val="21"/>
        </w:rPr>
        <w:t xml:space="preserve">Kişisel verilerinizin kanuna aykırı olarak işlenmesi sebebiyle zarara uğramanız halinde zararın giderilmesini talep etme</w:t>
      </w: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Başvuru Yöntemi</w:t>
      </w:r>
    </w:p>
    <w:p>
      <w:pPr>
        <w:spacing w:after="120" w:before="0" w:line="300"/>
        <w:jc w:val="both"/>
      </w:pPr>
      <w:r>
        <w:rPr>
          <w:rFonts w:ascii="Calibri" w:cs="Calibri" w:eastAsia="Calibri" w:hAnsi="Calibri"/>
          <w:color w:val="3A4A61"/>
          <w:sz w:val="21"/>
          <w:szCs w:val="21"/>
        </w:rPr>
        <w:t xml:space="preserve">Taleplerinizi; kimliğinizi tespit edici bilgilerle birlikte yazılı olarak </w:t>
      </w:r>
      <w:r>
        <w:rPr>
          <w:rFonts w:ascii="Calibri" w:cs="Calibri" w:eastAsia="Calibri" w:hAnsi="Calibri"/>
          <w:color w:val="1D5888"/>
          <w:sz w:val="21"/>
          <w:szCs w:val="21"/>
          <w:shd w:fill="EAF1F8" w:color="auto" w:val="clear"/>
        </w:rPr>
        <w:t xml:space="preserve">[Şirket Adresi]</w:t>
      </w:r>
      <w:r>
        <w:rPr>
          <w:rFonts w:ascii="Calibri" w:cs="Calibri" w:eastAsia="Calibri" w:hAnsi="Calibri"/>
          <w:color w:val="3A4A61"/>
          <w:sz w:val="21"/>
          <w:szCs w:val="21"/>
        </w:rPr>
        <w:t xml:space="preserve"> adresine elden veya posta yoluyla, </w:t>
      </w:r>
      <w:r>
        <w:rPr>
          <w:rFonts w:ascii="Calibri" w:cs="Calibri" w:eastAsia="Calibri" w:hAnsi="Calibri"/>
          <w:color w:val="1D5888"/>
          <w:sz w:val="21"/>
          <w:szCs w:val="21"/>
          <w:shd w:fill="EAF1F8" w:color="auto" w:val="clear"/>
        </w:rPr>
        <w:t xml:space="preserve">[KEP Adresi]</w:t>
      </w:r>
      <w:r>
        <w:rPr>
          <w:rFonts w:ascii="Calibri" w:cs="Calibri" w:eastAsia="Calibri" w:hAnsi="Calibri"/>
          <w:color w:val="3A4A61"/>
          <w:sz w:val="21"/>
          <w:szCs w:val="21"/>
        </w:rPr>
        <w:t xml:space="preserve"> kayıtlı elektronik posta adresine güvenli elektronik imza ile ya da Şirket sistemlerinde kayıtlı e-posta adresinizden </w:t>
      </w:r>
      <w:r>
        <w:rPr>
          <w:rFonts w:ascii="Calibri" w:cs="Calibri" w:eastAsia="Calibri" w:hAnsi="Calibri"/>
          <w:color w:val="1D5888"/>
          <w:sz w:val="21"/>
          <w:szCs w:val="21"/>
          <w:shd w:fill="EAF1F8" w:color="auto" w:val="clear"/>
        </w:rPr>
        <w:t xml:space="preserve">[KVKK Başvuru E-postası]</w:t>
      </w:r>
      <w:r>
        <w:rPr>
          <w:rFonts w:ascii="Calibri" w:cs="Calibri" w:eastAsia="Calibri" w:hAnsi="Calibri"/>
          <w:color w:val="3A4A61"/>
          <w:sz w:val="21"/>
          <w:szCs w:val="21"/>
        </w:rPr>
        <w:t xml:space="preserve"> adresine iletebilirsiniz. Başvurunuz, talebin niteliğine göre en kısa sürede ve en geç </w:t>
      </w:r>
      <w:r>
        <w:rPr>
          <w:rFonts w:ascii="Calibri" w:cs="Calibri" w:eastAsia="Calibri" w:hAnsi="Calibri"/>
          <w:b/>
          <w:bCs/>
          <w:color w:val="3A4A61"/>
          <w:sz w:val="21"/>
          <w:szCs w:val="21"/>
        </w:rPr>
        <w:t xml:space="preserve">30 gün</w:t>
      </w:r>
      <w:r>
        <w:rPr>
          <w:rFonts w:ascii="Calibri" w:cs="Calibri" w:eastAsia="Calibri" w:hAnsi="Calibri"/>
          <w:color w:val="3A4A61"/>
          <w:sz w:val="21"/>
          <w:szCs w:val="21"/>
        </w:rPr>
        <w:t xml:space="preserve"> içinde ücretsiz olarak sonuçlandırılır; işlemin ayrıca bir maliyet gerektirmesi halinde Kurul tarafından belirlenen tarifedeki ücret alınabilir.</w:t>
      </w: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Bilgilendirme Kaydı</w:t>
      </w:r>
    </w:p>
    <w:p>
      <w:pPr>
        <w:spacing w:after="120" w:before="0" w:line="300"/>
        <w:jc w:val="both"/>
      </w:pPr>
      <w:r>
        <w:rPr>
          <w:rFonts w:ascii="Calibri" w:cs="Calibri" w:eastAsia="Calibri" w:hAnsi="Calibri"/>
          <w:color w:val="3A4A61"/>
          <w:sz w:val="21"/>
          <w:szCs w:val="21"/>
        </w:rPr>
        <w:t xml:space="preserve">Bu aydınlatma metni tarafıma tebliğ edilmiş, okuyarak bilgi sahibi oldum. (Bu imza yalnızca aydınlatma yükümlülüğünün yerine getirildiğini gösterir; açık rıza beyanı yerine geçmez.)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Eden (İnsan Kaynakları)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KVKK</w:t>
          </w:r>
          <w:r>
            <w:rPr>
              <w:rFonts w:ascii="Calibri" w:cs="Calibri" w:eastAsia="Calibri" w:hAnsi="Calibri"/>
              <w:color w:val="8C9BB0"/>
              <w:sz w:val="16"/>
              <w:szCs w:val="16"/>
            </w:rPr>
            <w:t xml:space="preserve">  ·  Doküman No: [KVKK-AM-01]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Çalışan Kişisel Verilerinin İşlenmesine İlişkin Aydınlatma Metni</dc:title>
  <dc:creator>İK Partner</dc:creator>
  <dc:description>Çalışan Kişisel Verilerinin İşlenmesine İlişkin Aydınlatma Metni — İK Partner (ikpartner.com) ücretsiz İK şablonu</dc:description>
  <cp:lastModifiedBy>Un-named</cp:lastModifiedBy>
  <cp:revision>1</cp:revision>
  <dcterms:created xsi:type="dcterms:W3CDTF">2026-10-12T11:08:12.958Z</dcterms:created>
  <dcterms:modified xsi:type="dcterms:W3CDTF">2026-10-12T11:08:12.958Z</dcterms:modified>
</cp:coreProperties>
</file>

<file path=docProps/custom.xml><?xml version="1.0" encoding="utf-8"?>
<Properties xmlns="http://schemas.openxmlformats.org/officeDocument/2006/custom-properties" xmlns:vt="http://schemas.openxmlformats.org/officeDocument/2006/docPropsVTypes"/>
</file>