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Kısmi Süreli İş Sözleşmesi</w:t>
      </w:r>
    </w:p>
    <w:p>
      <w:pPr>
        <w:pBdr>
          <w:bottom w:val="single" w:color="13B8A7" w:sz="12" w:space="8"/>
        </w:pBdr>
        <w:spacing w:after="220"/>
      </w:pPr>
      <w:r>
        <w:rPr>
          <w:rFonts w:ascii="Calibri" w:cs="Calibri" w:eastAsia="Calibri" w:hAnsi="Calibri"/>
          <w:color w:val="5A6B82"/>
          <w:sz w:val="21"/>
          <w:szCs w:val="21"/>
        </w:rPr>
        <w:t xml:space="preserve">4857 sayılı İş Kanunu md. 13 kapsamında, haftalık çalışma süresi tam süreli emsaline göre önemli ölçüde az olan (part-time) çalışma için kullanılır.</w:t>
      </w:r>
    </w:p>
    <w:p>
      <w:pPr>
        <w:keepNext/>
        <w:pBdr>
          <w:bottom w:val="single" w:color="DCE4EE" w:sz="6" w:space="4"/>
        </w:pBdr>
        <w:spacing w:before="280" w:after="120"/>
      </w:pPr>
      <w:r>
        <w:rPr>
          <w:rFonts w:ascii="Calibri" w:cs="Calibri" w:eastAsia="Calibri" w:hAnsi="Calibri"/>
          <w:b/>
          <w:bCs/>
          <w:color w:val="13B8A7"/>
          <w:sz w:val="25"/>
          <w:szCs w:val="25"/>
        </w:rPr>
        <w:t xml:space="preserve">1. </w:t>
      </w:r>
      <w:r>
        <w:rPr>
          <w:rFonts w:ascii="Calibri" w:cs="Calibri" w:eastAsia="Calibri" w:hAnsi="Calibri"/>
          <w:b/>
          <w:bCs/>
          <w:color w:val="0E2849"/>
          <w:sz w:val="25"/>
          <w:szCs w:val="25"/>
        </w:rPr>
        <w:t xml:space="preserve">Taraflar</w:t>
      </w:r>
    </w:p>
    <w:p>
      <w:pPr>
        <w:spacing w:after="120" w:before="0" w:line="300"/>
        <w:jc w:val="both"/>
      </w:pPr>
      <w:r>
        <w:rPr>
          <w:rFonts w:ascii="Calibri" w:cs="Calibri" w:eastAsia="Calibri" w:hAnsi="Calibri"/>
          <w:color w:val="3A4A61"/>
          <w:sz w:val="21"/>
          <w:szCs w:val="21"/>
        </w:rPr>
        <w:t xml:space="preserve">Bu kısmi süreli iş sözleşmesi (bundan sonra </w:t>
      </w:r>
      <w:r>
        <w:rPr>
          <w:rFonts w:ascii="Calibri" w:cs="Calibri" w:eastAsia="Calibri" w:hAnsi="Calibri"/>
          <w:b/>
          <w:bCs/>
          <w:color w:val="3A4A61"/>
          <w:sz w:val="21"/>
          <w:szCs w:val="21"/>
        </w:rPr>
        <w:t xml:space="preserve">Sözleşme</w:t>
      </w:r>
      <w:r>
        <w:rPr>
          <w:rFonts w:ascii="Calibri" w:cs="Calibri" w:eastAsia="Calibri" w:hAnsi="Calibri"/>
          <w:color w:val="3A4A61"/>
          <w:sz w:val="21"/>
          <w:szCs w:val="21"/>
        </w:rPr>
        <w:t xml:space="preserve">), aşağıda bilgileri yer alan işveren (bundan sonra </w:t>
      </w:r>
      <w:r>
        <w:rPr>
          <w:rFonts w:ascii="Calibri" w:cs="Calibri" w:eastAsia="Calibri" w:hAnsi="Calibri"/>
          <w:b/>
          <w:bCs/>
          <w:color w:val="3A4A61"/>
          <w:sz w:val="21"/>
          <w:szCs w:val="21"/>
        </w:rPr>
        <w:t xml:space="preserve">İşveren</w:t>
      </w:r>
      <w:r>
        <w:rPr>
          <w:rFonts w:ascii="Calibri" w:cs="Calibri" w:eastAsia="Calibri" w:hAnsi="Calibri"/>
          <w:color w:val="3A4A61"/>
          <w:sz w:val="21"/>
          <w:szCs w:val="21"/>
        </w:rPr>
        <w:t xml:space="preserve">) ile işçi (bundan sonra </w:t>
      </w:r>
      <w:r>
        <w:rPr>
          <w:rFonts w:ascii="Calibri" w:cs="Calibri" w:eastAsia="Calibri" w:hAnsi="Calibri"/>
          <w:b/>
          <w:bCs/>
          <w:color w:val="3A4A61"/>
          <w:sz w:val="21"/>
          <w:szCs w:val="21"/>
        </w:rPr>
        <w:t xml:space="preserve">İşçi</w:t>
      </w:r>
      <w:r>
        <w:rPr>
          <w:rFonts w:ascii="Calibri" w:cs="Calibri" w:eastAsia="Calibri" w:hAnsi="Calibri"/>
          <w:color w:val="3A4A61"/>
          <w:sz w:val="21"/>
          <w:szCs w:val="21"/>
        </w:rPr>
        <w:t xml:space="preserve">) arasında aşağıdaki şartlarla düzenlenmiştir.</w:t>
      </w:r>
    </w:p>
    <w:p>
      <w:pPr>
        <w:spacing w:after="120" w:before="0" w:line="300"/>
        <w:jc w:val="both"/>
      </w:pPr>
      <w:r>
        <w:rPr>
          <w:rFonts w:ascii="Calibri" w:cs="Calibri" w:eastAsia="Calibri" w:hAnsi="Calibri"/>
          <w:b/>
          <w:bCs/>
          <w:color w:val="3A4A61"/>
          <w:sz w:val="21"/>
          <w:szCs w:val="21"/>
        </w:rPr>
        <w:t xml:space="preserve">İşveren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Unvan</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[Şirket Unvanı]</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Adres</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[İşveren Adresi]</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SGK İşyeri Sicil No</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[Sicil No]</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Yetkili Temsilci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[Ad Soyad / Unvan]</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KEP / E-posta</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[KEP / E-posta Adresi]</w:t>
            </w:r>
          </w:p>
        </w:tc>
      </w:tr>
    </w:tbl>
    <w:p>
      <w:pPr>
        <w:spacing w:after="120" w:before="0"/>
      </w:pPr>
    </w:p>
    <w:p>
      <w:pPr>
        <w:spacing w:after="120" w:before="0" w:line="300"/>
        <w:jc w:val="both"/>
      </w:pPr>
      <w:r>
        <w:rPr>
          <w:rFonts w:ascii="Calibri" w:cs="Calibri" w:eastAsia="Calibri" w:hAnsi="Calibri"/>
          <w:b/>
          <w:bCs/>
          <w:color w:val="3A4A61"/>
          <w:sz w:val="21"/>
          <w:szCs w:val="21"/>
        </w:rPr>
        <w:t xml:space="preserve">İşçi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[Ad Soyad]</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T.C. Kimlik No</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[T.C. Kimlik No]</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Adres</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[İşçi Adresi]</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Telefon</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[Telefon]</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E-posta</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[E-posta]</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Öğrenim / Meslek</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[Öğrenim Durumu / Meslek]</w:t>
            </w:r>
          </w:p>
        </w:tc>
      </w:tr>
    </w:tbl>
    <w:p>
      <w:pPr>
        <w:spacing w:after="120" w:before="0"/>
      </w:pPr>
    </w:p>
    <w:p>
      <w:pPr>
        <w:keepNext/>
        <w:pBdr>
          <w:bottom w:val="single" w:color="DCE4EE" w:sz="6" w:space="4"/>
        </w:pBdr>
        <w:spacing w:before="280" w:after="120"/>
      </w:pPr>
      <w:r>
        <w:rPr>
          <w:rFonts w:ascii="Calibri" w:cs="Calibri" w:eastAsia="Calibri" w:hAnsi="Calibri"/>
          <w:b/>
          <w:bCs/>
          <w:color w:val="13B8A7"/>
          <w:sz w:val="25"/>
          <w:szCs w:val="25"/>
        </w:rPr>
        <w:t xml:space="preserve">2. </w:t>
      </w:r>
      <w:r>
        <w:rPr>
          <w:rFonts w:ascii="Calibri" w:cs="Calibri" w:eastAsia="Calibri" w:hAnsi="Calibri"/>
          <w:b/>
          <w:bCs/>
          <w:color w:val="0E2849"/>
          <w:sz w:val="25"/>
          <w:szCs w:val="25"/>
        </w:rPr>
        <w:t xml:space="preserve">Sözleşmenin Konusu ve Niteliği</w:t>
      </w:r>
    </w:p>
    <w:p>
      <w:pPr>
        <w:spacing w:after="120" w:before="0" w:line="300"/>
        <w:jc w:val="both"/>
      </w:pPr>
      <w:r>
        <w:rPr>
          <w:rFonts w:ascii="Calibri" w:cs="Calibri" w:eastAsia="Calibri" w:hAnsi="Calibri"/>
          <w:color w:val="3A4A61"/>
          <w:sz w:val="21"/>
          <w:szCs w:val="21"/>
        </w:rPr>
        <w:t xml:space="preserve">Sözleşme, İşçinin İşveren'e ait işyerinde, tam süreli çalışan emsal işçiye göre önemli ölçüde daha az olacak şekilde belirlenmiş haftalık çalışma süresi içinde çalışmasına ve tarafların bu çalışmaya ilişkin hak ve yükümlülüklerine ilişkindir. Sözleşme, İş Kanunu md. 13 ve ilgili yönetmelik hükümlerine dayanılarak yapılmıştır.</w:t>
      </w:r>
    </w:p>
    <w:p>
      <w:pPr>
        <w:spacing w:after="120" w:before="0" w:line="300"/>
        <w:jc w:val="both"/>
      </w:pPr>
      <w:r>
        <w:rPr>
          <w:rFonts w:ascii="Calibri" w:cs="Calibri" w:eastAsia="Calibri" w:hAnsi="Calibri"/>
          <w:color w:val="3A4A61"/>
          <w:sz w:val="21"/>
          <w:szCs w:val="21"/>
        </w:rPr>
        <w:t xml:space="preserve">Sözleşmenin süresi bakımından aşağıdaki seçenek uygulanır: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Belirsiz süreli kısmi çalışma (süre sınırı yoktur)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Belirli süreli kısmi çalışma: </w:t>
      </w:r>
      <w:r>
        <w:rPr>
          <w:rFonts w:ascii="Calibri" w:cs="Calibri" w:eastAsia="Calibri" w:hAnsi="Calibri"/>
          <w:color w:val="1D5888"/>
          <w:sz w:val="21"/>
          <w:szCs w:val="21"/>
          <w:shd w:fill="EAF1F8" w:color="auto" w:val="clear"/>
        </w:rPr>
        <w:t xml:space="preserve">[Başlangıç Tarihi]</w:t>
      </w:r>
      <w:r>
        <w:rPr>
          <w:rFonts w:ascii="Calibri" w:cs="Calibri" w:eastAsia="Calibri" w:hAnsi="Calibri"/>
          <w:color w:val="3A4A61"/>
          <w:sz w:val="21"/>
          <w:szCs w:val="21"/>
        </w:rPr>
        <w:t xml:space="preserve"> – </w:t>
      </w:r>
      <w:r>
        <w:rPr>
          <w:rFonts w:ascii="Calibri" w:cs="Calibri" w:eastAsia="Calibri" w:hAnsi="Calibri"/>
          <w:color w:val="1D5888"/>
          <w:sz w:val="21"/>
          <w:szCs w:val="21"/>
          <w:shd w:fill="EAF1F8" w:color="auto" w:val="clear"/>
        </w:rPr>
        <w:t xml:space="preserve">[Bitiş Tarihi]</w:t>
      </w:r>
      <w:r>
        <w:rPr>
          <w:rFonts w:ascii="Calibri" w:cs="Calibri" w:eastAsia="Calibri" w:hAnsi="Calibri"/>
          <w:color w:val="3A4A61"/>
          <w:sz w:val="21"/>
          <w:szCs w:val="21"/>
        </w:rPr>
        <w:t xml:space="preserve"> (objektif neden: </w:t>
      </w:r>
      <w:r>
        <w:rPr>
          <w:rFonts w:ascii="Calibri" w:cs="Calibri" w:eastAsia="Calibri" w:hAnsi="Calibri"/>
          <w:color w:val="1D5888"/>
          <w:sz w:val="21"/>
          <w:szCs w:val="21"/>
          <w:shd w:fill="EAF1F8" w:color="auto" w:val="clear"/>
        </w:rPr>
        <w:t xml:space="preserve">[açıklama]</w:t>
      </w:r>
      <w:r>
        <w:rPr>
          <w:rFonts w:ascii="Calibri" w:cs="Calibri" w:eastAsia="Calibri" w:hAnsi="Calibri"/>
          <w:color w:val="3A4A61"/>
          <w:sz w:val="21"/>
          <w:szCs w:val="21"/>
        </w:rPr>
        <w:t xml:space="preserve">)</w:t>
      </w:r>
    </w:p>
    <w:p>
      <w:pPr>
        <w:spacing w:after="120" w:before="0" w:line="300"/>
        <w:jc w:val="both"/>
      </w:pPr>
      <w:r>
        <w:rPr>
          <w:rFonts w:ascii="Calibri" w:cs="Calibri" w:eastAsia="Calibri" w:hAnsi="Calibri"/>
          <w:color w:val="3A4A61"/>
          <w:sz w:val="21"/>
          <w:szCs w:val="21"/>
        </w:rPr>
        <w:t xml:space="preserve">Tam süreli emsal işçi: Aynı veya benzer işte, işyerinde tam süreli belirsiz süreli iş sözleşmesiyle çalışan </w:t>
      </w:r>
      <w:r>
        <w:rPr>
          <w:rFonts w:ascii="Calibri" w:cs="Calibri" w:eastAsia="Calibri" w:hAnsi="Calibri"/>
          <w:b/>
          <w:bCs/>
          <w:color w:val="3A4A61"/>
          <w:sz w:val="21"/>
          <w:szCs w:val="21"/>
        </w:rPr>
        <w:t xml:space="preserve">[Unvan]</w:t>
      </w:r>
      <w:r>
        <w:rPr>
          <w:rFonts w:ascii="Calibri" w:cs="Calibri" w:eastAsia="Calibri" w:hAnsi="Calibri"/>
          <w:color w:val="3A4A61"/>
          <w:sz w:val="21"/>
          <w:szCs w:val="21"/>
        </w:rPr>
        <w:t xml:space="preserve"> pozisyonundaki işçidir. İşyerinde emsal işçi yoksa işkolundaki şartlara uygun bir tam süreli işçi emsal alınır.</w:t>
      </w:r>
    </w:p>
    <w:p>
      <w:pPr>
        <w:keepNext/>
        <w:pBdr>
          <w:bottom w:val="single" w:color="DCE4EE" w:sz="6" w:space="4"/>
        </w:pBdr>
        <w:spacing w:before="280" w:after="120"/>
      </w:pPr>
      <w:r>
        <w:rPr>
          <w:rFonts w:ascii="Calibri" w:cs="Calibri" w:eastAsia="Calibri" w:hAnsi="Calibri"/>
          <w:b/>
          <w:bCs/>
          <w:color w:val="13B8A7"/>
          <w:sz w:val="25"/>
          <w:szCs w:val="25"/>
        </w:rPr>
        <w:t xml:space="preserve">3. </w:t>
      </w:r>
      <w:r>
        <w:rPr>
          <w:rFonts w:ascii="Calibri" w:cs="Calibri" w:eastAsia="Calibri" w:hAnsi="Calibri"/>
          <w:b/>
          <w:bCs/>
          <w:color w:val="0E2849"/>
          <w:sz w:val="25"/>
          <w:szCs w:val="25"/>
        </w:rPr>
        <w:t xml:space="preserve">İşin Tanımı ve Çalışma Yeri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Görev / Unvan</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[Unvan]</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Bağlı Olduğu Birim</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[Departman]</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Bağlı Olduğu Yönetici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[Yönetici Unvanı]</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Çalışma Yeri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[İşyeri Adresi / Şube]</w:t>
            </w:r>
          </w:p>
        </w:tc>
      </w:tr>
    </w:tbl>
    <w:p>
      <w:pPr>
        <w:spacing w:after="120" w:before="0"/>
      </w:pPr>
    </w:p>
    <w:p>
      <w:pPr>
        <w:spacing w:after="120" w:before="0" w:line="300"/>
        <w:jc w:val="both"/>
      </w:pPr>
      <w:r>
        <w:rPr>
          <w:rFonts w:ascii="Calibri" w:cs="Calibri" w:eastAsia="Calibri" w:hAnsi="Calibri"/>
          <w:color w:val="3A4A61"/>
          <w:sz w:val="21"/>
          <w:szCs w:val="21"/>
        </w:rPr>
        <w:t xml:space="preserve">İşçinin temel görevleri: </w:t>
      </w:r>
      <w:r>
        <w:rPr>
          <w:rFonts w:ascii="Calibri" w:cs="Calibri" w:eastAsia="Calibri" w:hAnsi="Calibri"/>
          <w:b/>
          <w:bCs/>
          <w:color w:val="3A4A61"/>
          <w:sz w:val="21"/>
          <w:szCs w:val="21"/>
        </w:rPr>
        <w:t xml:space="preserve">[Görev 1]</w:t>
      </w:r>
      <w:r>
        <w:rPr>
          <w:rFonts w:ascii="Calibri" w:cs="Calibri" w:eastAsia="Calibri" w:hAnsi="Calibri"/>
          <w:color w:val="3A4A61"/>
          <w:sz w:val="21"/>
          <w:szCs w:val="21"/>
        </w:rPr>
        <w:t xml:space="preserve">, </w:t>
      </w:r>
      <w:r>
        <w:rPr>
          <w:rFonts w:ascii="Calibri" w:cs="Calibri" w:eastAsia="Calibri" w:hAnsi="Calibri"/>
          <w:b/>
          <w:bCs/>
          <w:color w:val="3A4A61"/>
          <w:sz w:val="21"/>
          <w:szCs w:val="21"/>
        </w:rPr>
        <w:t xml:space="preserve">[Görev 2]</w:t>
      </w:r>
      <w:r>
        <w:rPr>
          <w:rFonts w:ascii="Calibri" w:cs="Calibri" w:eastAsia="Calibri" w:hAnsi="Calibri"/>
          <w:color w:val="3A4A61"/>
          <w:sz w:val="21"/>
          <w:szCs w:val="21"/>
        </w:rPr>
        <w:t xml:space="preserve">, </w:t>
      </w:r>
      <w:r>
        <w:rPr>
          <w:rFonts w:ascii="Calibri" w:cs="Calibri" w:eastAsia="Calibri" w:hAnsi="Calibri"/>
          <w:b/>
          <w:bCs/>
          <w:color w:val="3A4A61"/>
          <w:sz w:val="21"/>
          <w:szCs w:val="21"/>
        </w:rPr>
        <w:t xml:space="preserve">[Görev 3]</w:t>
      </w:r>
      <w:r>
        <w:rPr>
          <w:rFonts w:ascii="Calibri" w:cs="Calibri" w:eastAsia="Calibri" w:hAnsi="Calibri"/>
          <w:color w:val="3A4A61"/>
          <w:sz w:val="21"/>
          <w:szCs w:val="21"/>
        </w:rPr>
        <w:t xml:space="preserve">. Ayrıntılı görev tanımı Sözleşmenin ekidir (</w:t>
      </w:r>
      <w:r>
        <w:rPr>
          <w:rFonts w:ascii="Calibri" w:cs="Calibri" w:eastAsia="Calibri" w:hAnsi="Calibri"/>
          <w:b/>
          <w:bCs/>
          <w:color w:val="3A4A61"/>
          <w:sz w:val="21"/>
          <w:szCs w:val="21"/>
        </w:rPr>
        <w:t xml:space="preserve">Ek-1</w:t>
      </w:r>
      <w:r>
        <w:rPr>
          <w:rFonts w:ascii="Calibri" w:cs="Calibri" w:eastAsia="Calibri" w:hAnsi="Calibri"/>
          <w:color w:val="3A4A61"/>
          <w:sz w:val="21"/>
          <w:szCs w:val="21"/>
        </w:rPr>
        <w:t xml:space="preserve">).</w:t>
      </w:r>
    </w:p>
    <w:p>
      <w:pPr>
        <w:keepNext/>
        <w:pBdr>
          <w:bottom w:val="single" w:color="DCE4EE" w:sz="6" w:space="4"/>
        </w:pBdr>
        <w:spacing w:before="280" w:after="120"/>
      </w:pPr>
      <w:r>
        <w:rPr>
          <w:rFonts w:ascii="Calibri" w:cs="Calibri" w:eastAsia="Calibri" w:hAnsi="Calibri"/>
          <w:b/>
          <w:bCs/>
          <w:color w:val="13B8A7"/>
          <w:sz w:val="25"/>
          <w:szCs w:val="25"/>
        </w:rPr>
        <w:t xml:space="preserve">4. </w:t>
      </w:r>
      <w:r>
        <w:rPr>
          <w:rFonts w:ascii="Calibri" w:cs="Calibri" w:eastAsia="Calibri" w:hAnsi="Calibri"/>
          <w:b/>
          <w:bCs/>
          <w:color w:val="0E2849"/>
          <w:sz w:val="25"/>
          <w:szCs w:val="25"/>
        </w:rPr>
        <w:t xml:space="preserve">Çalışma Süresi ve Dağılımı</w:t>
      </w:r>
    </w:p>
    <w:p>
      <w:pPr>
        <w:spacing w:after="120" w:before="0" w:line="300"/>
        <w:jc w:val="both"/>
      </w:pPr>
      <w:r>
        <w:rPr>
          <w:rFonts w:ascii="Calibri" w:cs="Calibri" w:eastAsia="Calibri" w:hAnsi="Calibri"/>
          <w:color w:val="3A4A61"/>
          <w:sz w:val="21"/>
          <w:szCs w:val="21"/>
        </w:rPr>
        <w:t xml:space="preserve">İşçinin haftalık çalışma süresi </w:t>
      </w:r>
      <w:r>
        <w:rPr>
          <w:rFonts w:ascii="Calibri" w:cs="Calibri" w:eastAsia="Calibri" w:hAnsi="Calibri"/>
          <w:b/>
          <w:bCs/>
          <w:color w:val="3A4A61"/>
          <w:sz w:val="21"/>
          <w:szCs w:val="21"/>
        </w:rPr>
        <w:t xml:space="preserve">[saat]</w:t>
      </w:r>
      <w:r>
        <w:rPr>
          <w:rFonts w:ascii="Calibri" w:cs="Calibri" w:eastAsia="Calibri" w:hAnsi="Calibri"/>
          <w:color w:val="3A4A61"/>
          <w:sz w:val="21"/>
          <w:szCs w:val="21"/>
        </w:rPr>
        <w:t xml:space="preserve"> saattir. Bu süre, işyerindeki tam süreli emsal işçinin haftalık çalışma süresi olan </w:t>
      </w:r>
      <w:r>
        <w:rPr>
          <w:rFonts w:ascii="Calibri" w:cs="Calibri" w:eastAsia="Calibri" w:hAnsi="Calibri"/>
          <w:b/>
          <w:bCs/>
          <w:color w:val="3A4A61"/>
          <w:sz w:val="21"/>
          <w:szCs w:val="21"/>
        </w:rPr>
        <w:t xml:space="preserve">[45]</w:t>
      </w:r>
      <w:r>
        <w:rPr>
          <w:rFonts w:ascii="Calibri" w:cs="Calibri" w:eastAsia="Calibri" w:hAnsi="Calibri"/>
          <w:color w:val="3A4A61"/>
          <w:sz w:val="21"/>
          <w:szCs w:val="21"/>
        </w:rPr>
        <w:t xml:space="preserve"> saate göre önemli ölçüde daha azdır. Çalışma süresinin haftalık dağılımı aşağıdaki gibidir: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536"/>
        <w:gridCol w:w="1775"/>
        <w:gridCol w:w="1775"/>
        <w:gridCol w:w="1775"/>
        <w:gridCol w:w="1777"/>
      </w:tblGrid>
      <w:tr>
        <w:trPr>
          <w:cantSplit/>
          <w:trHeight w:val="400" w:hRule="atLeast"/>
        </w:trPr>
        <w:tc>
          <w:tcPr>
            <w:tcW w:type="dxa" w:w="253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Gün</w:t>
            </w:r>
          </w:p>
        </w:tc>
        <w:tc>
          <w:tcPr>
            <w:tcW w:type="dxa" w:w="177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Başlangıç</w:t>
            </w:r>
          </w:p>
        </w:tc>
        <w:tc>
          <w:tcPr>
            <w:tcW w:type="dxa" w:w="177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Bitiş</w:t>
            </w:r>
          </w:p>
        </w:tc>
        <w:tc>
          <w:tcPr>
            <w:tcW w:type="dxa" w:w="177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Ara Dinlenme</w:t>
            </w:r>
          </w:p>
        </w:tc>
        <w:tc>
          <w:tcPr>
            <w:tcW w:type="dxa" w:w="177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Günlük Süre</w:t>
            </w:r>
          </w:p>
        </w:tc>
      </w:tr>
      <w:tr>
        <w:trPr>
          <w:cantSplit/>
          <w:trHeight w:val="380" w:hRule="atLeast"/>
        </w:trPr>
        <w:tc>
          <w:tcPr>
            <w:tcW w:type="dxa" w:w="253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Pazartesi</w:t>
            </w:r>
          </w:p>
        </w:tc>
        <w:tc>
          <w:tcPr>
            <w:tcW w:type="dxa" w:w="177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[saat]</w:t>
            </w:r>
          </w:p>
        </w:tc>
        <w:tc>
          <w:tcPr>
            <w:tcW w:type="dxa" w:w="177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[saat]</w:t>
            </w:r>
          </w:p>
        </w:tc>
        <w:tc>
          <w:tcPr>
            <w:tcW w:type="dxa" w:w="177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[dakika]</w:t>
            </w:r>
          </w:p>
        </w:tc>
        <w:tc>
          <w:tcPr>
            <w:tcW w:type="dxa" w:w="177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[saat]</w:t>
            </w:r>
          </w:p>
        </w:tc>
      </w:tr>
      <w:tr>
        <w:trPr>
          <w:cantSplit/>
          <w:trHeight w:val="380" w:hRule="atLeast"/>
        </w:trPr>
        <w:tc>
          <w:tcPr>
            <w:tcW w:type="dxa" w:w="253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Salı</w:t>
            </w:r>
          </w:p>
        </w:tc>
        <w:tc>
          <w:tcPr>
            <w:tcW w:type="dxa" w:w="177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[saat]</w:t>
            </w:r>
          </w:p>
        </w:tc>
        <w:tc>
          <w:tcPr>
            <w:tcW w:type="dxa" w:w="177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[saat]</w:t>
            </w:r>
          </w:p>
        </w:tc>
        <w:tc>
          <w:tcPr>
            <w:tcW w:type="dxa" w:w="177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[dakika]</w:t>
            </w:r>
          </w:p>
        </w:tc>
        <w:tc>
          <w:tcPr>
            <w:tcW w:type="dxa" w:w="177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[saat]</w:t>
            </w:r>
          </w:p>
        </w:tc>
      </w:tr>
      <w:tr>
        <w:trPr>
          <w:cantSplit/>
          <w:trHeight w:val="380" w:hRule="atLeast"/>
        </w:trPr>
        <w:tc>
          <w:tcPr>
            <w:tcW w:type="dxa" w:w="253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Çarşamba</w:t>
            </w:r>
          </w:p>
        </w:tc>
        <w:tc>
          <w:tcPr>
            <w:tcW w:type="dxa" w:w="177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[saat]</w:t>
            </w:r>
          </w:p>
        </w:tc>
        <w:tc>
          <w:tcPr>
            <w:tcW w:type="dxa" w:w="177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[saat]</w:t>
            </w:r>
          </w:p>
        </w:tc>
        <w:tc>
          <w:tcPr>
            <w:tcW w:type="dxa" w:w="177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[dakika]</w:t>
            </w:r>
          </w:p>
        </w:tc>
        <w:tc>
          <w:tcPr>
            <w:tcW w:type="dxa" w:w="177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[saat]</w:t>
            </w:r>
          </w:p>
        </w:tc>
      </w:tr>
      <w:tr>
        <w:trPr>
          <w:cantSplit/>
          <w:trHeight w:val="380" w:hRule="atLeast"/>
        </w:trPr>
        <w:tc>
          <w:tcPr>
            <w:tcW w:type="dxa" w:w="253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Perşembe</w:t>
            </w:r>
          </w:p>
        </w:tc>
        <w:tc>
          <w:tcPr>
            <w:tcW w:type="dxa" w:w="177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[saat]</w:t>
            </w:r>
          </w:p>
        </w:tc>
        <w:tc>
          <w:tcPr>
            <w:tcW w:type="dxa" w:w="177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[saat]</w:t>
            </w:r>
          </w:p>
        </w:tc>
        <w:tc>
          <w:tcPr>
            <w:tcW w:type="dxa" w:w="177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[dakika]</w:t>
            </w:r>
          </w:p>
        </w:tc>
        <w:tc>
          <w:tcPr>
            <w:tcW w:type="dxa" w:w="177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[saat]</w:t>
            </w:r>
          </w:p>
        </w:tc>
      </w:tr>
      <w:tr>
        <w:trPr>
          <w:cantSplit/>
          <w:trHeight w:val="380" w:hRule="atLeast"/>
        </w:trPr>
        <w:tc>
          <w:tcPr>
            <w:tcW w:type="dxa" w:w="253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Cuma</w:t>
            </w:r>
          </w:p>
        </w:tc>
        <w:tc>
          <w:tcPr>
            <w:tcW w:type="dxa" w:w="177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[saat]</w:t>
            </w:r>
          </w:p>
        </w:tc>
        <w:tc>
          <w:tcPr>
            <w:tcW w:type="dxa" w:w="177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[saat]</w:t>
            </w:r>
          </w:p>
        </w:tc>
        <w:tc>
          <w:tcPr>
            <w:tcW w:type="dxa" w:w="177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[dakika]</w:t>
            </w:r>
          </w:p>
        </w:tc>
        <w:tc>
          <w:tcPr>
            <w:tcW w:type="dxa" w:w="177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[saat]</w:t>
            </w:r>
          </w:p>
        </w:tc>
      </w:tr>
      <w:tr>
        <w:trPr>
          <w:cantSplit/>
          <w:trHeight w:val="380" w:hRule="atLeast"/>
        </w:trPr>
        <w:tc>
          <w:tcPr>
            <w:tcW w:type="dxa" w:w="253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Cumartesi</w:t>
            </w:r>
          </w:p>
        </w:tc>
        <w:tc>
          <w:tcPr>
            <w:tcW w:type="dxa" w:w="177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[saat]</w:t>
            </w:r>
          </w:p>
        </w:tc>
        <w:tc>
          <w:tcPr>
            <w:tcW w:type="dxa" w:w="177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[saat]</w:t>
            </w:r>
          </w:p>
        </w:tc>
        <w:tc>
          <w:tcPr>
            <w:tcW w:type="dxa" w:w="177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[dakika]</w:t>
            </w:r>
          </w:p>
        </w:tc>
        <w:tc>
          <w:tcPr>
            <w:tcW w:type="dxa" w:w="177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[saat]</w:t>
            </w:r>
          </w:p>
        </w:tc>
      </w:tr>
      <w:tr>
        <w:trPr>
          <w:cantSplit/>
          <w:trHeight w:val="380" w:hRule="atLeast"/>
        </w:trPr>
        <w:tc>
          <w:tcPr>
            <w:tcW w:type="dxa" w:w="253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Haftalık toplam</w:t>
            </w:r>
          </w:p>
        </w:tc>
        <w:tc>
          <w:tcPr>
            <w:tcW w:type="dxa" w:w="1775"/>
            <w:tcMar>
              <w:top w:type="dxa" w:w="60"/>
              <w:left w:type="dxa" w:w="110"/>
              <w:bottom w:type="dxa" w:w="60"/>
              <w:right w:type="dxa" w:w="110"/>
            </w:tcMar>
            <w:vAlign w:val="center"/>
          </w:tcPr>
          <w:p>
            <w:pPr>
              <w:spacing w:before="40" w:after="40"/>
            </w:pPr>
          </w:p>
        </w:tc>
        <w:tc>
          <w:tcPr>
            <w:tcW w:type="dxa" w:w="1775"/>
            <w:tcMar>
              <w:top w:type="dxa" w:w="60"/>
              <w:left w:type="dxa" w:w="110"/>
              <w:bottom w:type="dxa" w:w="60"/>
              <w:right w:type="dxa" w:w="110"/>
            </w:tcMar>
            <w:vAlign w:val="center"/>
          </w:tcPr>
          <w:p>
            <w:pPr>
              <w:spacing w:before="40" w:after="40"/>
            </w:pPr>
          </w:p>
        </w:tc>
        <w:tc>
          <w:tcPr>
            <w:tcW w:type="dxa" w:w="1775"/>
            <w:tcMar>
              <w:top w:type="dxa" w:w="60"/>
              <w:left w:type="dxa" w:w="110"/>
              <w:bottom w:type="dxa" w:w="60"/>
              <w:right w:type="dxa" w:w="110"/>
            </w:tcMar>
            <w:vAlign w:val="center"/>
          </w:tcPr>
          <w:p>
            <w:pPr>
              <w:spacing w:before="40" w:after="40"/>
            </w:pPr>
          </w:p>
        </w:tc>
        <w:tc>
          <w:tcPr>
            <w:tcW w:type="dxa" w:w="177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[saat]</w:t>
            </w:r>
          </w:p>
        </w:tc>
      </w:tr>
    </w:tbl>
    <w:p>
      <w:pPr>
        <w:spacing w:after="120" w:before="0"/>
      </w:pPr>
    </w:p>
    <w:p>
      <w:pPr>
        <w:spacing w:after="120" w:before="0" w:line="300"/>
        <w:jc w:val="both"/>
      </w:pPr>
      <w:r>
        <w:rPr>
          <w:rFonts w:ascii="Calibri" w:cs="Calibri" w:eastAsia="Calibri" w:hAnsi="Calibri"/>
          <w:color w:val="3A4A61"/>
          <w:sz w:val="21"/>
          <w:szCs w:val="21"/>
        </w:rPr>
        <w:t xml:space="preserve">Ara dinlenme, İş Kanunu md. 68 uyarınca günlük çalışma süresine göre verilir: dört saat veya daha kısa süreli işlerde on beş dakika, dört saatten fazla ve yedi buçuk saate kadar işlerde yarım saat, yedi buçuk saatten fazla işlerde bir saat. Ara dinlenmeler çalışma süresinden sayılmaz.</w:t>
      </w:r>
    </w:p>
    <w:p>
      <w:pPr>
        <w:spacing w:after="120" w:before="0" w:line="300"/>
        <w:jc w:val="both"/>
      </w:pPr>
      <w:r>
        <w:rPr>
          <w:rFonts w:ascii="Calibri" w:cs="Calibri" w:eastAsia="Calibri" w:hAnsi="Calibri"/>
          <w:color w:val="3A4A61"/>
          <w:sz w:val="21"/>
          <w:szCs w:val="21"/>
        </w:rPr>
        <w:t xml:space="preserve">Çalışma gün ve saatlerinin değiştirilmesi gerektiğinde İşveren, değişikliği makul bir süre önceden yazılı olarak bildirir. Haftalık çalışma süresinin artırılması veya azaltılması gibi çalışma koşullarında esaslı değişiklik niteliğindeki düzenlemeler, İş Kanunu md. 22 uyarınca İşçinin yazılı onayı olmadan yapılamaz.</w:t>
      </w:r>
    </w:p>
    <w:p>
      <w:pPr>
        <w:keepNext/>
        <w:pBdr>
          <w:bottom w:val="single" w:color="DCE4EE" w:sz="6" w:space="4"/>
        </w:pBdr>
        <w:spacing w:before="280" w:after="120"/>
      </w:pPr>
      <w:r>
        <w:rPr>
          <w:rFonts w:ascii="Calibri" w:cs="Calibri" w:eastAsia="Calibri" w:hAnsi="Calibri"/>
          <w:b/>
          <w:bCs/>
          <w:color w:val="13B8A7"/>
          <w:sz w:val="25"/>
          <w:szCs w:val="25"/>
        </w:rPr>
        <w:t xml:space="preserve">5. </w:t>
      </w:r>
      <w:r>
        <w:rPr>
          <w:rFonts w:ascii="Calibri" w:cs="Calibri" w:eastAsia="Calibri" w:hAnsi="Calibri"/>
          <w:b/>
          <w:bCs/>
          <w:color w:val="0E2849"/>
          <w:sz w:val="25"/>
          <w:szCs w:val="25"/>
        </w:rPr>
        <w:t xml:space="preserve">Kararlaştırılan Sürenin Üzerindeki Çalışmalar</w:t>
      </w:r>
    </w:p>
    <w:p>
      <w:pPr>
        <w:spacing w:after="120" w:before="0" w:line="300"/>
        <w:jc w:val="both"/>
      </w:pPr>
      <w:r>
        <w:rPr>
          <w:rFonts w:ascii="Calibri" w:cs="Calibri" w:eastAsia="Calibri" w:hAnsi="Calibri"/>
          <w:color w:val="3A4A61"/>
          <w:sz w:val="21"/>
          <w:szCs w:val="21"/>
        </w:rPr>
        <w:t xml:space="preserve">İşçinin haftalık çalışma süresinin üzerinde çalışması, ancak İşçinin onayı alınarak ve İş Kanunu ile ilgili yönetmeliklerde kısmi süreli çalışanlar için öngörülen sınırlamalara uygun olarak istenebilir. Haftalık çalışma süresinin 45 saatin altında kararlaştırıldığı bu Sözleşmede, kararlaştırılan süreyi aşan ve 45 saate kadar olan çalışmalar </w:t>
      </w:r>
      <w:r>
        <w:rPr>
          <w:rFonts w:ascii="Calibri" w:cs="Calibri" w:eastAsia="Calibri" w:hAnsi="Calibri"/>
          <w:b/>
          <w:bCs/>
          <w:color w:val="3A4A61"/>
          <w:sz w:val="21"/>
          <w:szCs w:val="21"/>
        </w:rPr>
        <w:t xml:space="preserve">fazla sürelerle çalışma</w:t>
      </w:r>
      <w:r>
        <w:rPr>
          <w:rFonts w:ascii="Calibri" w:cs="Calibri" w:eastAsia="Calibri" w:hAnsi="Calibri"/>
          <w:color w:val="3A4A61"/>
          <w:sz w:val="21"/>
          <w:szCs w:val="21"/>
        </w:rPr>
        <w:t xml:space="preserve"> olup, her bir saati için normal saat ücretinin yüzde yirmi beş fazlası ödenir. İşçi isterse, bu çalışmalar karşılığında her saat için bir saat on beş dakika serbest zaman kullanabilir.</w:t>
      </w:r>
    </w:p>
    <w:p>
      <w:pPr>
        <w:keepNext/>
        <w:pBdr>
          <w:bottom w:val="single" w:color="DCE4EE" w:sz="6" w:space="4"/>
        </w:pBdr>
        <w:spacing w:before="280" w:after="120"/>
      </w:pPr>
      <w:r>
        <w:rPr>
          <w:rFonts w:ascii="Calibri" w:cs="Calibri" w:eastAsia="Calibri" w:hAnsi="Calibri"/>
          <w:b/>
          <w:bCs/>
          <w:color w:val="13B8A7"/>
          <w:sz w:val="25"/>
          <w:szCs w:val="25"/>
        </w:rPr>
        <w:t xml:space="preserve">6. </w:t>
      </w:r>
      <w:r>
        <w:rPr>
          <w:rFonts w:ascii="Calibri" w:cs="Calibri" w:eastAsia="Calibri" w:hAnsi="Calibri"/>
          <w:b/>
          <w:bCs/>
          <w:color w:val="0E2849"/>
          <w:sz w:val="25"/>
          <w:szCs w:val="25"/>
        </w:rPr>
        <w:t xml:space="preserve">Ücret</w:t>
      </w:r>
    </w:p>
    <w:p>
      <w:pPr>
        <w:spacing w:after="120" w:before="0" w:line="300"/>
        <w:jc w:val="both"/>
      </w:pPr>
      <w:r>
        <w:rPr>
          <w:rFonts w:ascii="Calibri" w:cs="Calibri" w:eastAsia="Calibri" w:hAnsi="Calibri"/>
          <w:color w:val="3A4A61"/>
          <w:sz w:val="21"/>
          <w:szCs w:val="21"/>
        </w:rPr>
        <w:t xml:space="preserve">İşçinin ücreti </w:t>
      </w:r>
      <w:r>
        <w:rPr>
          <w:rFonts w:ascii="Calibri" w:cs="Calibri" w:eastAsia="Calibri" w:hAnsi="Calibri"/>
          <w:b/>
          <w:bCs/>
          <w:color w:val="3A4A61"/>
          <w:sz w:val="21"/>
          <w:szCs w:val="21"/>
        </w:rPr>
        <w:t xml:space="preserve">[saatlik / aylık]</w:t>
      </w:r>
      <w:r>
        <w:rPr>
          <w:rFonts w:ascii="Calibri" w:cs="Calibri" w:eastAsia="Calibri" w:hAnsi="Calibri"/>
          <w:color w:val="3A4A61"/>
          <w:sz w:val="21"/>
          <w:szCs w:val="21"/>
        </w:rPr>
        <w:t xml:space="preserve"> olarak belirlenmiştir: </w:t>
      </w:r>
      <w:r>
        <w:rPr>
          <w:rFonts w:ascii="Calibri" w:cs="Calibri" w:eastAsia="Calibri" w:hAnsi="Calibri"/>
          <w:b/>
          <w:bCs/>
          <w:color w:val="3A4A61"/>
          <w:sz w:val="21"/>
          <w:szCs w:val="21"/>
        </w:rPr>
        <w:t xml:space="preserve">[Tutar] TL brüt</w:t>
      </w:r>
      <w:r>
        <w:rPr>
          <w:rFonts w:ascii="Calibri" w:cs="Calibri" w:eastAsia="Calibri" w:hAnsi="Calibri"/>
          <w:color w:val="3A4A61"/>
          <w:sz w:val="21"/>
          <w:szCs w:val="21"/>
        </w:rPr>
        <w:t xml:space="preserve"> (yazıyla: </w:t>
      </w:r>
      <w:r>
        <w:rPr>
          <w:rFonts w:ascii="Calibri" w:cs="Calibri" w:eastAsia="Calibri" w:hAnsi="Calibri"/>
          <w:b/>
          <w:bCs/>
          <w:color w:val="3A4A61"/>
          <w:sz w:val="21"/>
          <w:szCs w:val="21"/>
        </w:rPr>
        <w:t xml:space="preserve">[Tutar Yazıyla]</w:t>
      </w:r>
      <w:r>
        <w:rPr>
          <w:rFonts w:ascii="Calibri" w:cs="Calibri" w:eastAsia="Calibri" w:hAnsi="Calibri"/>
          <w:color w:val="3A4A61"/>
          <w:sz w:val="21"/>
          <w:szCs w:val="21"/>
        </w:rPr>
        <w:t xml:space="preserve"> Türk lirası). Ücret, her ayın </w:t>
      </w:r>
      <w:r>
        <w:rPr>
          <w:rFonts w:ascii="Calibri" w:cs="Calibri" w:eastAsia="Calibri" w:hAnsi="Calibri"/>
          <w:b/>
          <w:bCs/>
          <w:color w:val="3A4A61"/>
          <w:sz w:val="21"/>
          <w:szCs w:val="21"/>
        </w:rPr>
        <w:t xml:space="preserve">[gün]</w:t>
      </w:r>
      <w:r>
        <w:rPr>
          <w:rFonts w:ascii="Calibri" w:cs="Calibri" w:eastAsia="Calibri" w:hAnsi="Calibri"/>
          <w:color w:val="3A4A61"/>
          <w:sz w:val="21"/>
          <w:szCs w:val="21"/>
        </w:rPr>
        <w:t xml:space="preserve">. günü, yasal kesintiler yapıldıktan sonra İşçinin </w:t>
      </w:r>
      <w:r>
        <w:rPr>
          <w:rFonts w:ascii="Calibri" w:cs="Calibri" w:eastAsia="Calibri" w:hAnsi="Calibri"/>
          <w:b/>
          <w:bCs/>
          <w:color w:val="3A4A61"/>
          <w:sz w:val="21"/>
          <w:szCs w:val="21"/>
        </w:rPr>
        <w:t xml:space="preserve">[IBAN]</w:t>
      </w:r>
      <w:r>
        <w:rPr>
          <w:rFonts w:ascii="Calibri" w:cs="Calibri" w:eastAsia="Calibri" w:hAnsi="Calibri"/>
          <w:color w:val="3A4A61"/>
          <w:sz w:val="21"/>
          <w:szCs w:val="21"/>
        </w:rPr>
        <w:t xml:space="preserve"> numaralı banka hesabına ödenir. İşveren her ödeme döneminde ücret hesap pusulası verir.</w:t>
      </w:r>
    </w:p>
    <w:p>
      <w:pPr>
        <w:spacing w:after="120" w:before="0" w:line="300"/>
        <w:jc w:val="both"/>
      </w:pPr>
      <w:r>
        <w:rPr>
          <w:rFonts w:ascii="Calibri" w:cs="Calibri" w:eastAsia="Calibri" w:hAnsi="Calibri"/>
          <w:color w:val="3A4A61"/>
          <w:sz w:val="21"/>
          <w:szCs w:val="21"/>
        </w:rPr>
        <w:t xml:space="preserve">İşçinin saatlik ücreti, tam süreli emsal işçinin saatlik ücretinden düşük olamaz ve yürürlükteki asgari ücretin saatlik karşılığının altında belirlenemez. İkramiye, prim ve benzeri paraya ilişkin bölünebilir menfaatler, tam süreli emsal işçiye göre çalışma süresine orantılı olarak ödenir (İş Kanunu md. 13).</w:t>
      </w:r>
    </w:p>
    <w:p>
      <w:pPr>
        <w:keepNext/>
        <w:pBdr>
          <w:bottom w:val="single" w:color="DCE4EE" w:sz="6" w:space="4"/>
        </w:pBdr>
        <w:spacing w:before="280" w:after="120"/>
      </w:pPr>
      <w:r>
        <w:rPr>
          <w:rFonts w:ascii="Calibri" w:cs="Calibri" w:eastAsia="Calibri" w:hAnsi="Calibri"/>
          <w:b/>
          <w:bCs/>
          <w:color w:val="13B8A7"/>
          <w:sz w:val="25"/>
          <w:szCs w:val="25"/>
        </w:rPr>
        <w:t xml:space="preserve">7. </w:t>
      </w:r>
      <w:r>
        <w:rPr>
          <w:rFonts w:ascii="Calibri" w:cs="Calibri" w:eastAsia="Calibri" w:hAnsi="Calibri"/>
          <w:b/>
          <w:bCs/>
          <w:color w:val="0E2849"/>
          <w:sz w:val="25"/>
          <w:szCs w:val="25"/>
        </w:rPr>
        <w:t xml:space="preserve">Sosyal Haklar</w:t>
      </w:r>
    </w:p>
    <w:p>
      <w:pPr>
        <w:spacing w:after="120" w:before="0" w:line="300"/>
        <w:jc w:val="both"/>
      </w:pPr>
      <w:r>
        <w:rPr>
          <w:rFonts w:ascii="Calibri" w:cs="Calibri" w:eastAsia="Calibri" w:hAnsi="Calibri"/>
          <w:color w:val="3A4A61"/>
          <w:sz w:val="21"/>
          <w:szCs w:val="21"/>
        </w:rPr>
        <w:t xml:space="preserve">İşçi, kısmi süreli çalışması haklı bir neden olmadıkça tam süreli emsal işçiye göre farklı işleme tabi tutulamaz. İşyerinde sağlanan yan haklardan aşağıdaki esaslarla yararlanır: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753"/>
        <w:gridCol w:w="4130"/>
        <w:gridCol w:w="2755"/>
      </w:tblGrid>
      <w:tr>
        <w:trPr>
          <w:cantSplit/>
          <w:trHeight w:val="400" w:hRule="atLeast"/>
        </w:trPr>
        <w:tc>
          <w:tcPr>
            <w:tcW w:type="dxa" w:w="275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Yan Hak</w:t>
            </w:r>
          </w:p>
        </w:tc>
        <w:tc>
          <w:tcPr>
            <w:tcW w:type="dxa" w:w="413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Uygulama</w:t>
            </w:r>
          </w:p>
        </w:tc>
        <w:tc>
          <w:tcPr>
            <w:tcW w:type="dxa" w:w="275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Açıklama</w:t>
            </w:r>
          </w:p>
        </w:tc>
      </w:tr>
      <w:tr>
        <w:trPr>
          <w:cantSplit/>
          <w:trHeight w:val="380" w:hRule="atLeast"/>
        </w:trPr>
        <w:tc>
          <w:tcPr>
            <w:tcW w:type="dxa" w:w="275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Yemek</w:t>
            </w:r>
          </w:p>
        </w:tc>
        <w:tc>
          <w:tcPr>
            <w:tcW w:type="dxa" w:w="413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Çalışılan günlerde  ☐ Uygulanmaz</w:t>
            </w:r>
          </w:p>
        </w:tc>
        <w:tc>
          <w:tcPr>
            <w:tcW w:type="dxa" w:w="275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[Açıklama]</w:t>
            </w:r>
          </w:p>
        </w:tc>
      </w:tr>
      <w:tr>
        <w:trPr>
          <w:cantSplit/>
          <w:trHeight w:val="380" w:hRule="atLeast"/>
        </w:trPr>
        <w:tc>
          <w:tcPr>
            <w:tcW w:type="dxa" w:w="275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Ulaşım</w:t>
            </w:r>
          </w:p>
        </w:tc>
        <w:tc>
          <w:tcPr>
            <w:tcW w:type="dxa" w:w="413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Servis  ☐ Ulaşım bedeli  ☐ Uygulanmaz</w:t>
            </w:r>
          </w:p>
        </w:tc>
        <w:tc>
          <w:tcPr>
            <w:tcW w:type="dxa" w:w="27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 / Açıklama]</w:t>
            </w:r>
          </w:p>
        </w:tc>
      </w:tr>
      <w:tr>
        <w:trPr>
          <w:cantSplit/>
          <w:trHeight w:val="380" w:hRule="atLeast"/>
        </w:trPr>
        <w:tc>
          <w:tcPr>
            <w:tcW w:type="dxa" w:w="275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Prim / ikramiye</w:t>
            </w:r>
          </w:p>
        </w:tc>
        <w:tc>
          <w:tcPr>
            <w:tcW w:type="dxa" w:w="413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Çalışma süresiyle orantılı</w:t>
            </w:r>
          </w:p>
        </w:tc>
        <w:tc>
          <w:tcPr>
            <w:tcW w:type="dxa" w:w="275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[Esaslar]</w:t>
            </w:r>
          </w:p>
        </w:tc>
      </w:tr>
      <w:tr>
        <w:trPr>
          <w:cantSplit/>
          <w:trHeight w:val="380" w:hRule="atLeast"/>
        </w:trPr>
        <w:tc>
          <w:tcPr>
            <w:tcW w:type="dxa" w:w="275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Eğitim ve gelişim</w:t>
            </w:r>
          </w:p>
        </w:tc>
        <w:tc>
          <w:tcPr>
            <w:tcW w:type="dxa" w:w="413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Tam süreli çalışanlarla eşit</w:t>
            </w:r>
          </w:p>
        </w:tc>
        <w:tc>
          <w:tcPr>
            <w:tcW w:type="dxa" w:w="27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[Açıklama]</w:t>
            </w:r>
          </w:p>
        </w:tc>
      </w:tr>
      <w:tr>
        <w:trPr>
          <w:cantSplit/>
          <w:trHeight w:val="380" w:hRule="atLeast"/>
        </w:trPr>
        <w:tc>
          <w:tcPr>
            <w:tcW w:type="dxa" w:w="275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Diğer</w:t>
            </w:r>
          </w:p>
        </w:tc>
        <w:tc>
          <w:tcPr>
            <w:tcW w:type="dxa" w:w="4130"/>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[Açıklama]</w:t>
            </w:r>
          </w:p>
        </w:tc>
        <w:tc>
          <w:tcPr>
            <w:tcW w:type="dxa" w:w="275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[Açıklama]</w:t>
            </w:r>
          </w:p>
        </w:tc>
      </w:tr>
    </w:tbl>
    <w:p>
      <w:pPr>
        <w:spacing w:after="120" w:before="0"/>
      </w:pPr>
    </w:p>
    <w:p>
      <w:pPr>
        <w:keepNext/>
        <w:pBdr>
          <w:bottom w:val="single" w:color="DCE4EE" w:sz="6" w:space="4"/>
        </w:pBdr>
        <w:spacing w:before="280" w:after="120"/>
      </w:pPr>
      <w:r>
        <w:rPr>
          <w:rFonts w:ascii="Calibri" w:cs="Calibri" w:eastAsia="Calibri" w:hAnsi="Calibri"/>
          <w:b/>
          <w:bCs/>
          <w:color w:val="13B8A7"/>
          <w:sz w:val="25"/>
          <w:szCs w:val="25"/>
        </w:rPr>
        <w:t xml:space="preserve">8. </w:t>
      </w:r>
      <w:r>
        <w:rPr>
          <w:rFonts w:ascii="Calibri" w:cs="Calibri" w:eastAsia="Calibri" w:hAnsi="Calibri"/>
          <w:b/>
          <w:bCs/>
          <w:color w:val="0E2849"/>
          <w:sz w:val="25"/>
          <w:szCs w:val="25"/>
        </w:rPr>
        <w:t xml:space="preserve">Yıllık İzin ve Diğer İzinler</w:t>
      </w:r>
    </w:p>
    <w:p>
      <w:pPr>
        <w:spacing w:after="120" w:before="0" w:line="300"/>
        <w:jc w:val="both"/>
      </w:pPr>
      <w:r>
        <w:rPr>
          <w:rFonts w:ascii="Calibri" w:cs="Calibri" w:eastAsia="Calibri" w:hAnsi="Calibri"/>
          <w:color w:val="3A4A61"/>
          <w:sz w:val="21"/>
          <w:szCs w:val="21"/>
        </w:rPr>
        <w:t xml:space="preserve">İşçi, yıllık ücretli izne tam süreli çalışanlarla aynı kıdem esaslarına göre hak kazanır; kısmi süreli çalışması, hak kazanılan izin gün sayısını azaltmaz. İzin süresi İş Kanunu md. 53'te öngörülen sürelerden az olamaz. İşçi ayrıca mevzuatta öngörülen mazeret, analık ve babalık izinlerinden yararlanır.</w:t>
      </w:r>
    </w:p>
    <w:p>
      <w:pPr>
        <w:keepNext/>
        <w:pBdr>
          <w:bottom w:val="single" w:color="DCE4EE" w:sz="6" w:space="4"/>
        </w:pBdr>
        <w:spacing w:before="280" w:after="120"/>
      </w:pPr>
      <w:r>
        <w:rPr>
          <w:rFonts w:ascii="Calibri" w:cs="Calibri" w:eastAsia="Calibri" w:hAnsi="Calibri"/>
          <w:b/>
          <w:bCs/>
          <w:color w:val="13B8A7"/>
          <w:sz w:val="25"/>
          <w:szCs w:val="25"/>
        </w:rPr>
        <w:t xml:space="preserve">9. </w:t>
      </w:r>
      <w:r>
        <w:rPr>
          <w:rFonts w:ascii="Calibri" w:cs="Calibri" w:eastAsia="Calibri" w:hAnsi="Calibri"/>
          <w:b/>
          <w:bCs/>
          <w:color w:val="0E2849"/>
          <w:sz w:val="25"/>
          <w:szCs w:val="25"/>
        </w:rPr>
        <w:t xml:space="preserve">Sosyal Güvenlik</w:t>
      </w:r>
    </w:p>
    <w:p>
      <w:pPr>
        <w:spacing w:after="120" w:before="0" w:line="300"/>
        <w:jc w:val="both"/>
      </w:pPr>
      <w:r>
        <w:rPr>
          <w:rFonts w:ascii="Calibri" w:cs="Calibri" w:eastAsia="Calibri" w:hAnsi="Calibri"/>
          <w:color w:val="3A4A61"/>
          <w:sz w:val="21"/>
          <w:szCs w:val="21"/>
        </w:rPr>
        <w:t xml:space="preserve">İşçi, işe başlamadan önce SGK'ya bildirilir. Kısmi süreli çalışmada prim ödeme gün sayısı, ay içindeki fiili çalışma süresine göre SGK mevzuatına uygun olarak belirlenir; İşveren eksik gün bildirimlerini ilgili mevzuata uygun belgelendirir. İşçi, eksik kalan günleri için isteğe bağlı sigorta haklarını SGK mevzuatına göre kullanabilir.</w:t>
      </w:r>
    </w:p>
    <w:p>
      <w:pPr>
        <w:keepNext/>
        <w:pBdr>
          <w:bottom w:val="single" w:color="DCE4EE" w:sz="6" w:space="4"/>
        </w:pBdr>
        <w:spacing w:before="280" w:after="120"/>
      </w:pPr>
      <w:r>
        <w:rPr>
          <w:rFonts w:ascii="Calibri" w:cs="Calibri" w:eastAsia="Calibri" w:hAnsi="Calibri"/>
          <w:b/>
          <w:bCs/>
          <w:color w:val="13B8A7"/>
          <w:sz w:val="25"/>
          <w:szCs w:val="25"/>
        </w:rPr>
        <w:t xml:space="preserve">10. </w:t>
      </w:r>
      <w:r>
        <w:rPr>
          <w:rFonts w:ascii="Calibri" w:cs="Calibri" w:eastAsia="Calibri" w:hAnsi="Calibri"/>
          <w:b/>
          <w:bCs/>
          <w:color w:val="0E2849"/>
          <w:sz w:val="25"/>
          <w:szCs w:val="25"/>
        </w:rPr>
        <w:t xml:space="preserve">Tam Süreliye Geçiş ve Bilgilendirme</w:t>
      </w:r>
    </w:p>
    <w:p>
      <w:pPr>
        <w:spacing w:after="120" w:before="0" w:line="300"/>
        <w:jc w:val="both"/>
      </w:pPr>
      <w:r>
        <w:rPr>
          <w:rFonts w:ascii="Calibri" w:cs="Calibri" w:eastAsia="Calibri" w:hAnsi="Calibri"/>
          <w:color w:val="3A4A61"/>
          <w:sz w:val="21"/>
          <w:szCs w:val="21"/>
        </w:rPr>
        <w:t xml:space="preserve">İşveren, işyerinde açılacak kısmi veya tam süreli boş yerleri zamanında duyurur. İşçinin tam süreli bir işe geçme talebi, boş yer bulunması halinde İş Kanunu md. 13 uyarınca dikkate alınır. Tam süreliye geçiş, tarafların yazılı olarak yapacağı yeni bir düzenleme ile gerçekleşir.</w:t>
      </w:r>
    </w:p>
    <w:p>
      <w:pPr>
        <w:keepNext/>
        <w:pBdr>
          <w:bottom w:val="single" w:color="DCE4EE" w:sz="6" w:space="4"/>
        </w:pBdr>
        <w:spacing w:before="280" w:after="120"/>
      </w:pPr>
      <w:r>
        <w:rPr>
          <w:rFonts w:ascii="Calibri" w:cs="Calibri" w:eastAsia="Calibri" w:hAnsi="Calibri"/>
          <w:b/>
          <w:bCs/>
          <w:color w:val="13B8A7"/>
          <w:sz w:val="25"/>
          <w:szCs w:val="25"/>
        </w:rPr>
        <w:t xml:space="preserve">11. </w:t>
      </w:r>
      <w:r>
        <w:rPr>
          <w:rFonts w:ascii="Calibri" w:cs="Calibri" w:eastAsia="Calibri" w:hAnsi="Calibri"/>
          <w:b/>
          <w:bCs/>
          <w:color w:val="0E2849"/>
          <w:sz w:val="25"/>
          <w:szCs w:val="25"/>
        </w:rPr>
        <w:t xml:space="preserve">İşçinin ve İşverenin Yükümlülükleri</w:t>
      </w:r>
    </w:p>
    <w:p>
      <w:pPr>
        <w:pStyle w:val="ListParagraph"/>
        <w:numPr>
          <w:ilvl w:val="0"/>
          <w:numId w:val="2"/>
        </w:numPr>
        <w:spacing w:after="80" w:line="290"/>
      </w:pPr>
      <w:r>
        <w:rPr>
          <w:rFonts w:ascii="Calibri" w:cs="Calibri" w:eastAsia="Calibri" w:hAnsi="Calibri"/>
          <w:color w:val="3A4A61"/>
          <w:sz w:val="21"/>
          <w:szCs w:val="21"/>
        </w:rPr>
        <w:t xml:space="preserve">İşçi, işini özenle ve sadakatle yapar; işyeri kurallarına, tebliğ edilmiş iç yönetmeliklere ve İSG talimatlarına uyar.</w:t>
      </w:r>
    </w:p>
    <w:p>
      <w:pPr>
        <w:pStyle w:val="ListParagraph"/>
        <w:numPr>
          <w:ilvl w:val="0"/>
          <w:numId w:val="2"/>
        </w:numPr>
        <w:spacing w:after="80" w:line="290"/>
      </w:pPr>
      <w:r>
        <w:rPr>
          <w:rFonts w:ascii="Calibri" w:cs="Calibri" w:eastAsia="Calibri" w:hAnsi="Calibri"/>
          <w:color w:val="3A4A61"/>
          <w:sz w:val="21"/>
          <w:szCs w:val="21"/>
        </w:rPr>
        <w:t xml:space="preserve">İşçi, başka bir işverende de kısmi süreli çalışıyorsa bunu İşveren'e bildirir; bu çalışma, İşveren ile rekabet oluşturmamalı ve çalışma saatleriyle çakışmamalıdır.</w:t>
      </w:r>
    </w:p>
    <w:p>
      <w:pPr>
        <w:pStyle w:val="ListParagraph"/>
        <w:numPr>
          <w:ilvl w:val="0"/>
          <w:numId w:val="2"/>
        </w:numPr>
        <w:spacing w:after="80" w:line="290"/>
      </w:pPr>
      <w:r>
        <w:rPr>
          <w:rFonts w:ascii="Calibri" w:cs="Calibri" w:eastAsia="Calibri" w:hAnsi="Calibri"/>
          <w:color w:val="3A4A61"/>
          <w:sz w:val="21"/>
          <w:szCs w:val="21"/>
        </w:rPr>
        <w:t xml:space="preserve">İşveren, ücreti zamanında öder, iş sağlığı ve güvenliği eğitimlerini kısmi süreli çalışmaya uygun saatlerde verir ve kişisel koruyucu donanımı sağlar.</w:t>
      </w:r>
    </w:p>
    <w:p>
      <w:pPr>
        <w:pStyle w:val="ListParagraph"/>
        <w:numPr>
          <w:ilvl w:val="0"/>
          <w:numId w:val="2"/>
        </w:numPr>
        <w:spacing w:after="80" w:line="290"/>
      </w:pPr>
      <w:r>
        <w:rPr>
          <w:rFonts w:ascii="Calibri" w:cs="Calibri" w:eastAsia="Calibri" w:hAnsi="Calibri"/>
          <w:color w:val="3A4A61"/>
          <w:sz w:val="21"/>
          <w:szCs w:val="21"/>
        </w:rPr>
        <w:t xml:space="preserve">İşveren, İşçinin kişisel verilerini 6698 sayılı Kanun'a uygun işler ve İşçiye aydınlatma metni verir (</w:t>
      </w:r>
      <w:r>
        <w:rPr>
          <w:rFonts w:ascii="Calibri" w:cs="Calibri" w:eastAsia="Calibri" w:hAnsi="Calibri"/>
          <w:b/>
          <w:bCs/>
          <w:color w:val="3A4A61"/>
          <w:sz w:val="21"/>
          <w:szCs w:val="21"/>
        </w:rPr>
        <w:t xml:space="preserve">Ek-2</w:t>
      </w:r>
      <w:r>
        <w:rPr>
          <w:rFonts w:ascii="Calibri" w:cs="Calibri" w:eastAsia="Calibri" w:hAnsi="Calibri"/>
          <w:color w:val="3A4A61"/>
          <w:sz w:val="21"/>
          <w:szCs w:val="21"/>
        </w:rPr>
        <w:t xml:space="preserve">).</w:t>
      </w:r>
    </w:p>
    <w:p>
      <w:pPr>
        <w:pStyle w:val="ListParagraph"/>
        <w:numPr>
          <w:ilvl w:val="0"/>
          <w:numId w:val="2"/>
        </w:numPr>
        <w:spacing w:after="80" w:line="290"/>
      </w:pPr>
      <w:r>
        <w:rPr>
          <w:rFonts w:ascii="Calibri" w:cs="Calibri" w:eastAsia="Calibri" w:hAnsi="Calibri"/>
          <w:color w:val="3A4A61"/>
          <w:sz w:val="21"/>
          <w:szCs w:val="21"/>
        </w:rPr>
        <w:t xml:space="preserve">Taraflar, çalışma sırasında öğrenilen ticari sır ve kişisel verilerin gizliliğine sözleşme süresince ve sonrasında uyar.</w:t>
      </w:r>
    </w:p>
    <w:p>
      <w:pPr>
        <w:keepNext/>
        <w:pBdr>
          <w:bottom w:val="single" w:color="DCE4EE" w:sz="6" w:space="4"/>
        </w:pBdr>
        <w:spacing w:before="280" w:after="120"/>
      </w:pPr>
      <w:r>
        <w:rPr>
          <w:rFonts w:ascii="Calibri" w:cs="Calibri" w:eastAsia="Calibri" w:hAnsi="Calibri"/>
          <w:b/>
          <w:bCs/>
          <w:color w:val="13B8A7"/>
          <w:sz w:val="25"/>
          <w:szCs w:val="25"/>
        </w:rPr>
        <w:t xml:space="preserve">12. </w:t>
      </w:r>
      <w:r>
        <w:rPr>
          <w:rFonts w:ascii="Calibri" w:cs="Calibri" w:eastAsia="Calibri" w:hAnsi="Calibri"/>
          <w:b/>
          <w:bCs/>
          <w:color w:val="0E2849"/>
          <w:sz w:val="25"/>
          <w:szCs w:val="25"/>
        </w:rPr>
        <w:t xml:space="preserve">Sözleşmenin Sona Ermesi</w:t>
      </w:r>
    </w:p>
    <w:p>
      <w:pPr>
        <w:spacing w:after="120" w:before="0" w:line="300"/>
        <w:jc w:val="both"/>
      </w:pPr>
      <w:r>
        <w:rPr>
          <w:rFonts w:ascii="Calibri" w:cs="Calibri" w:eastAsia="Calibri" w:hAnsi="Calibri"/>
          <w:color w:val="3A4A61"/>
          <w:sz w:val="21"/>
          <w:szCs w:val="21"/>
        </w:rPr>
        <w:t xml:space="preserve">Belirsiz süreli kısmi çalışmada taraflar, İş Kanunu md. 17'deki bildirim sürelerine uyarak Sözleşmeyi feshedebilir. Bildirim süreleri, işçinin kıdemine göre: altı aydan az sürmüş işlerde iki hafta, altı aydan bir buçuk yıla kadar dört hafta, bir buçuk yıldan üç yıla kadar altı hafta, üç yıldan fazla sürmüş işlerde sekiz haftadır. İşveren, bildirim süresine ait ücreti peşin ödeyerek sözleşmeyi feshedebilir. İşverence yapılacak fesihlerde iş güvencesine ilişkin hükümler, şartları varsa uygulanır.</w:t>
      </w:r>
    </w:p>
    <w:p>
      <w:pPr>
        <w:spacing w:after="120" w:before="0" w:line="300"/>
        <w:jc w:val="both"/>
      </w:pPr>
      <w:r>
        <w:rPr>
          <w:rFonts w:ascii="Calibri" w:cs="Calibri" w:eastAsia="Calibri" w:hAnsi="Calibri"/>
          <w:color w:val="3A4A61"/>
          <w:sz w:val="21"/>
          <w:szCs w:val="21"/>
        </w:rPr>
        <w:t xml:space="preserve">Taraflar, İş Kanunu md. 24 ve 25'te sayılan haklı nedenlerle Sözleşmeyi derhal feshedebilir. Kıdem tazminatı, ihbar tazminatı ve kullanılmamış yıllık izin ücreti gibi haklar, şartları oluşmuşsa kısmi süreli çalışmaya uygun şekilde hesaplanarak ödenir. İşveren, sona ermede İşçiye çalışma belgesi verir.</w:t>
      </w:r>
    </w:p>
    <w:p>
      <w:pPr>
        <w:keepNext/>
        <w:pBdr>
          <w:bottom w:val="single" w:color="DCE4EE" w:sz="6" w:space="4"/>
        </w:pBdr>
        <w:spacing w:before="280" w:after="120"/>
      </w:pPr>
      <w:r>
        <w:rPr>
          <w:rFonts w:ascii="Calibri" w:cs="Calibri" w:eastAsia="Calibri" w:hAnsi="Calibri"/>
          <w:b/>
          <w:bCs/>
          <w:color w:val="13B8A7"/>
          <w:sz w:val="25"/>
          <w:szCs w:val="25"/>
        </w:rPr>
        <w:t xml:space="preserve">13. </w:t>
      </w:r>
      <w:r>
        <w:rPr>
          <w:rFonts w:ascii="Calibri" w:cs="Calibri" w:eastAsia="Calibri" w:hAnsi="Calibri"/>
          <w:b/>
          <w:bCs/>
          <w:color w:val="0E2849"/>
          <w:sz w:val="25"/>
          <w:szCs w:val="25"/>
        </w:rPr>
        <w:t xml:space="preserve">Uyuşmazlıklar ve Yürürlük</w:t>
      </w:r>
    </w:p>
    <w:p>
      <w:pPr>
        <w:spacing w:after="120" w:before="0" w:line="300"/>
        <w:jc w:val="both"/>
      </w:pPr>
      <w:r>
        <w:rPr>
          <w:rFonts w:ascii="Calibri" w:cs="Calibri" w:eastAsia="Calibri" w:hAnsi="Calibri"/>
          <w:color w:val="3A4A61"/>
          <w:sz w:val="21"/>
          <w:szCs w:val="21"/>
        </w:rPr>
        <w:t xml:space="preserve">Sözleşmede hüküm bulunmayan hallerde İş Kanunu ve ilgili mevzuat uygulanır. İşçi ve işveren alacağı, tazminatı ve işe iade taleplerinde dava açılmadan önce arabulucuya başvurulması zorunludur. Arabuluculukta anlaşma sağlanamazsa </w:t>
      </w:r>
      <w:r>
        <w:rPr>
          <w:rFonts w:ascii="Calibri" w:cs="Calibri" w:eastAsia="Calibri" w:hAnsi="Calibri"/>
          <w:b/>
          <w:bCs/>
          <w:color w:val="3A4A61"/>
          <w:sz w:val="21"/>
          <w:szCs w:val="21"/>
        </w:rPr>
        <w:t xml:space="preserve">[İl]</w:t>
      </w:r>
      <w:r>
        <w:rPr>
          <w:rFonts w:ascii="Calibri" w:cs="Calibri" w:eastAsia="Calibri" w:hAnsi="Calibri"/>
          <w:color w:val="3A4A61"/>
          <w:sz w:val="21"/>
          <w:szCs w:val="21"/>
        </w:rPr>
        <w:t xml:space="preserve"> iş mahkemeleri yetkilidir.</w:t>
      </w:r>
    </w:p>
    <w:p>
      <w:pPr>
        <w:spacing w:after="120" w:before="0" w:line="300"/>
        <w:jc w:val="both"/>
      </w:pPr>
      <w:r>
        <w:rPr>
          <w:rFonts w:ascii="Calibri" w:cs="Calibri" w:eastAsia="Calibri" w:hAnsi="Calibri"/>
          <w:color w:val="3A4A61"/>
          <w:sz w:val="21"/>
          <w:szCs w:val="21"/>
        </w:rPr>
        <w:t xml:space="preserve">Sözleşme ve ekleri (</w:t>
      </w:r>
      <w:r>
        <w:rPr>
          <w:rFonts w:ascii="Calibri" w:cs="Calibri" w:eastAsia="Calibri" w:hAnsi="Calibri"/>
          <w:b/>
          <w:bCs/>
          <w:color w:val="3A4A61"/>
          <w:sz w:val="21"/>
          <w:szCs w:val="21"/>
        </w:rPr>
        <w:t xml:space="preserve">Ek-1</w:t>
      </w:r>
      <w:r>
        <w:rPr>
          <w:rFonts w:ascii="Calibri" w:cs="Calibri" w:eastAsia="Calibri" w:hAnsi="Calibri"/>
          <w:color w:val="3A4A61"/>
          <w:sz w:val="21"/>
          <w:szCs w:val="21"/>
        </w:rPr>
        <w:t xml:space="preserve"> Görev Tanımı, </w:t>
      </w:r>
      <w:r>
        <w:rPr>
          <w:rFonts w:ascii="Calibri" w:cs="Calibri" w:eastAsia="Calibri" w:hAnsi="Calibri"/>
          <w:b/>
          <w:bCs/>
          <w:color w:val="3A4A61"/>
          <w:sz w:val="21"/>
          <w:szCs w:val="21"/>
        </w:rPr>
        <w:t xml:space="preserve">Ek-2</w:t>
      </w:r>
      <w:r>
        <w:rPr>
          <w:rFonts w:ascii="Calibri" w:cs="Calibri" w:eastAsia="Calibri" w:hAnsi="Calibri"/>
          <w:color w:val="3A4A61"/>
          <w:sz w:val="21"/>
          <w:szCs w:val="21"/>
        </w:rPr>
        <w:t xml:space="preserve"> Aydınlatma Metni) taraflarca okunarak </w:t>
      </w:r>
      <w:r>
        <w:rPr>
          <w:rFonts w:ascii="Calibri" w:cs="Calibri" w:eastAsia="Calibri" w:hAnsi="Calibri"/>
          <w:b/>
          <w:bCs/>
          <w:color w:val="3A4A61"/>
          <w:sz w:val="21"/>
          <w:szCs w:val="21"/>
        </w:rPr>
        <w:t xml:space="preserve">[Tarih]</w:t>
      </w:r>
      <w:r>
        <w:rPr>
          <w:rFonts w:ascii="Calibri" w:cs="Calibri" w:eastAsia="Calibri" w:hAnsi="Calibri"/>
          <w:color w:val="3A4A61"/>
          <w:sz w:val="21"/>
          <w:szCs w:val="21"/>
        </w:rPr>
        <w:t xml:space="preserve"> tarihinde iki nüsha halinde imzalanmış, bir nüshası İşçiye verilmiştir.</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İşçi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İşveren / Yetkili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 · SÖZLEŞME</w:t>
          </w:r>
          <w:r>
            <w:rPr>
              <w:rFonts w:ascii="Calibri" w:cs="Calibri" w:eastAsia="Calibri" w:hAnsi="Calibri"/>
              <w:color w:val="8C9BB0"/>
              <w:sz w:val="16"/>
              <w:szCs w:val="16"/>
            </w:rPr>
            <w:t xml:space="preserve">  ·  Doküman No: [İK-S-03]</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Kısmi Süreli İş Sözleşmesi</dc:title>
  <dc:creator>İK Partner</dc:creator>
  <dc:description>Kısmi Süreli İş Sözleşmesi — İK Partner (ikpartner.com) ücretsiz İK şablonu</dc:description>
  <cp:lastModifiedBy>Un-named</cp:lastModifiedBy>
  <cp:revision>1</cp:revision>
  <dcterms:created xsi:type="dcterms:W3CDTF">2026-10-12T11:08:12.783Z</dcterms:created>
  <dcterms:modified xsi:type="dcterms:W3CDTF">2026-10-12T11:08:12.783Z</dcterms:modified>
</cp:coreProperties>
</file>

<file path=docProps/custom.xml><?xml version="1.0" encoding="utf-8"?>
<Properties xmlns="http://schemas.openxmlformats.org/officeDocument/2006/custom-properties" xmlns:vt="http://schemas.openxmlformats.org/officeDocument/2006/docPropsVTypes"/>
</file>