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jc w:val="center"/>
      </w:pPr>
      <w:r>
        <w:rPr>
          <w:rFonts w:ascii="Calibri" w:cs="Calibri" w:eastAsia="Calibri" w:hAnsi="Calibri"/>
          <w:b/>
          <w:bCs/>
          <w:color w:val="0E2849"/>
          <w:sz w:val="38"/>
          <w:szCs w:val="38"/>
        </w:rPr>
        <w:t xml:space="preserve">Kıdem ve İhbar Tazminatı Taksitli Ödeme Protokolü</w:t>
      </w:r>
    </w:p>
    <w:p>
      <w:pPr>
        <w:pBdr>
          <w:bottom w:val="single" w:color="13B8A7" w:sz="12" w:space="8"/>
        </w:pBdr>
        <w:spacing w:after="220"/>
        <w:jc w:val="center"/>
      </w:pPr>
      <w:r>
        <w:rPr>
          <w:rFonts w:ascii="Calibri" w:cs="Calibri" w:eastAsia="Calibri" w:hAnsi="Calibri"/>
          <w:color w:val="5A6B82"/>
          <w:sz w:val="21"/>
          <w:szCs w:val="21"/>
        </w:rPr>
        <w:t xml:space="preserve">İş sözleşmesi sona eren çalışanın tazminat ve alacaklarının işverence kabulü, taksit planı, faiz, temerrüt ve muacceliyet şartı, ibra etkisi ve ödeme takip tablosunu içeren protokol.</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Adresi / Vergi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Adına Yetkili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Adresi / E-posta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Banka / IBAN</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Bu protokol, yukarıda bilgileri yazılı taraflar arasında aşağıdaki şartlarla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serbest iradeleriyle düzenlenmiştir.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Konu</w:t>
      </w:r>
    </w:p>
    <w:p>
      <w:pPr>
        <w:spacing w:after="120" w:before="0" w:line="300"/>
        <w:jc w:val="both"/>
      </w:pPr>
      <w:r>
        <w:rPr>
          <w:rFonts w:ascii="Calibri" w:cs="Calibri" w:eastAsia="Calibri" w:hAnsi="Calibri"/>
          <w:color w:val="3A4A61"/>
          <w:sz w:val="21"/>
          <w:szCs w:val="21"/>
        </w:rPr>
        <w:t xml:space="preserve">Çalışanın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[Çıkış Tarihi]</w:t>
      </w:r>
      <w:r>
        <w:rPr>
          <w:rFonts w:ascii="Calibri" w:cs="Calibri" w:eastAsia="Calibri" w:hAnsi="Calibri"/>
          <w:color w:val="3A4A61"/>
          <w:sz w:val="21"/>
          <w:szCs w:val="21"/>
        </w:rPr>
        <w:t xml:space="preserve"> tarihleri arasında işverende geçen hizmeti sonunda iş sözleşmesi </w:t>
      </w:r>
      <w:r>
        <w:rPr>
          <w:rFonts w:ascii="Calibri" w:cs="Calibri" w:eastAsia="Calibri" w:hAnsi="Calibri"/>
          <w:color w:val="1D5888"/>
          <w:sz w:val="21"/>
          <w:szCs w:val="21"/>
          <w:shd w:fill="EAF1F8" w:color="auto" w:val="clear"/>
        </w:rPr>
        <w:t xml:space="preserve">[sona erme şekli]</w:t>
      </w:r>
      <w:r>
        <w:rPr>
          <w:rFonts w:ascii="Calibri" w:cs="Calibri" w:eastAsia="Calibri" w:hAnsi="Calibri"/>
          <w:color w:val="3A4A61"/>
          <w:sz w:val="21"/>
          <w:szCs w:val="21"/>
        </w:rPr>
        <w:t xml:space="preserve"> ile sona ermiştir. Bu protokolün konusu, iş sözleşmesinin sona ermesinden doğan ve aşağıda gösterilen alacakların işverence kabulü ile bunların taksitler halinde ödenmesinin usul ve şartlarıdır.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Borcun Kabulü</w:t>
      </w:r>
    </w:p>
    <w:p>
      <w:pPr>
        <w:spacing w:after="120" w:before="0" w:line="300"/>
        <w:jc w:val="both"/>
      </w:pPr>
      <w:r>
        <w:rPr>
          <w:rFonts w:ascii="Calibri" w:cs="Calibri" w:eastAsia="Calibri" w:hAnsi="Calibri"/>
          <w:color w:val="3A4A61"/>
          <w:sz w:val="21"/>
          <w:szCs w:val="21"/>
        </w:rPr>
        <w:t xml:space="preserve">İşveren, çalışana aşağıdaki tutarları borçlu olduğunu kabul eder. Tutarlar ekli hesap tablosuna dayanır.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1927"/>
        <w:gridCol w:w="1927"/>
        <w:gridCol w:w="1929"/>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Alacak Kalemi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Brüt (TL)</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Yasal Kesintiler (TL)</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Net (TL)</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Kullanılmayan yıllık izin ücreti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dönem ücreti / diğer</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bl>
    <w:p>
      <w:pPr>
        <w:spacing w:after="120" w:before="0"/>
      </w:pPr>
    </w:p>
    <w:p>
      <w:pPr>
        <w:spacing w:after="120" w:before="0" w:line="300"/>
        <w:jc w:val="both"/>
      </w:pPr>
      <w:r>
        <w:rPr>
          <w:rFonts w:ascii="Calibri" w:cs="Calibri" w:eastAsia="Calibri" w:hAnsi="Calibri"/>
          <w:color w:val="3A4A61"/>
          <w:sz w:val="21"/>
          <w:szCs w:val="21"/>
        </w:rPr>
        <w:t xml:space="preserve">Peşin ödenen kısım: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(varsa). Taksitlendirilen bakiye: </w:t>
      </w:r>
      <w:r>
        <w:rPr>
          <w:rFonts w:ascii="Calibri" w:cs="Calibri" w:eastAsia="Calibri" w:hAnsi="Calibri"/>
          <w:b/>
          <w:bCs/>
          <w:color w:val="3A4A61"/>
          <w:sz w:val="21"/>
          <w:szCs w:val="21"/>
        </w:rPr>
        <w:t xml:space="preserve">[Tutar] TL (net)</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Ödeme Planı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070"/>
        <w:gridCol w:w="2141"/>
        <w:gridCol w:w="2141"/>
        <w:gridCol w:w="2141"/>
        <w:gridCol w:w="2145"/>
      </w:tblGrid>
      <w:tr>
        <w:trPr>
          <w:cantSplit/>
          <w:trHeight w:val="400" w:hRule="atLeast"/>
        </w:trPr>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 No</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Vade Tarihi</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Anapara (TL)</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Faiz (TL)</w:t>
            </w:r>
          </w:p>
        </w:tc>
        <w:tc>
          <w:tcPr>
            <w:tcW w:type="dxa" w:w="21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 Tutarı (TL)</w:t>
            </w:r>
          </w:p>
        </w:tc>
      </w:tr>
      <w:tr>
        <w:trPr>
          <w:cantSplit/>
          <w:trHeight w:val="380" w:hRule="atLeast"/>
        </w:trPr>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10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10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Toplam</w:t>
            </w:r>
          </w:p>
        </w:tc>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1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bl>
    <w:p>
      <w:pPr>
        <w:spacing w:after="120" w:before="0"/>
      </w:pPr>
    </w:p>
    <w:p>
      <w:pPr>
        <w:spacing w:after="120" w:before="0" w:line="300"/>
        <w:jc w:val="both"/>
      </w:pPr>
      <w:r>
        <w:rPr>
          <w:rFonts w:ascii="Calibri" w:cs="Calibri" w:eastAsia="Calibri" w:hAnsi="Calibri"/>
          <w:color w:val="3A4A61"/>
          <w:sz w:val="21"/>
          <w:szCs w:val="21"/>
        </w:rPr>
        <w:t xml:space="preserve">Ödemeler yalnızca çalışanın yukarıda yazılı banka hesabına, açıklama kısmında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 Taksit </w:t>
      </w:r>
      <w:r>
        <w:rPr>
          <w:rFonts w:ascii="Calibri" w:cs="Calibri" w:eastAsia="Calibri" w:hAnsi="Calibri"/>
          <w:color w:val="1D5888"/>
          <w:sz w:val="21"/>
          <w:szCs w:val="21"/>
          <w:shd w:fill="EAF1F8" w:color="auto" w:val="clear"/>
        </w:rPr>
        <w:t xml:space="preserve">[No]</w:t>
      </w:r>
      <w:r>
        <w:rPr>
          <w:rFonts w:ascii="Calibri" w:cs="Calibri" w:eastAsia="Calibri" w:hAnsi="Calibri"/>
          <w:color w:val="3A4A61"/>
          <w:sz w:val="21"/>
          <w:szCs w:val="21"/>
        </w:rPr>
        <w:t xml:space="preserve">" ibaresiyle yapılır. Elden veya başka bir hesaba yapılan ödemeler bu protokol kapsamında ödeme sayılmaz.</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Faiz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Taksitlere, sona erme tarihinden ödeme tarihine kadar yıllık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oranında faiz uygulanır ve faiz tutarları ödeme planında gösterilmiştir.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Taraflar, kısa vadeli taksitlendirme karşılığında taksitlere ayrıca faiz uygulanmamasında anlaşmıştır; temerrüt halinde aşağıdaki madde uygulanır.</w:t>
      </w:r>
    </w:p>
    <w:p>
      <w:pPr>
        <w:spacing w:after="120" w:before="0" w:line="300"/>
        <w:jc w:val="both"/>
      </w:pPr>
      <w:r>
        <w:rPr>
          <w:rFonts w:ascii="Calibri" w:cs="Calibri" w:eastAsia="Calibri" w:hAnsi="Calibri"/>
          <w:color w:val="3A4A61"/>
          <w:sz w:val="21"/>
          <w:szCs w:val="21"/>
        </w:rPr>
        <w:t xml:space="preserve">Kıdem tazminatının geç ödenmesi halinde 1475 sayılı İş Kanunu md. 14 uyarınca mevduata uygulanan en yüksek faiz gündeme gelebileceğinden, faiz oranı belirlenirken bu husus dikkate alınmıştır.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Temerrüt ve Muacceliyet</w:t>
      </w:r>
    </w:p>
    <w:p>
      <w:pPr>
        <w:spacing w:after="120" w:before="0" w:line="300"/>
        <w:jc w:val="both"/>
      </w:pPr>
      <w:r>
        <w:rPr>
          <w:rFonts w:ascii="Calibri" w:cs="Calibri" w:eastAsia="Calibri" w:hAnsi="Calibri"/>
          <w:color w:val="3A4A61"/>
          <w:sz w:val="21"/>
          <w:szCs w:val="21"/>
        </w:rPr>
        <w:t xml:space="preserve">Herhangi bir taksitin vade tarihinden itibaren </w:t>
      </w:r>
      <w:r>
        <w:rPr>
          <w:rFonts w:ascii="Calibri" w:cs="Calibri" w:eastAsia="Calibri" w:hAnsi="Calibri"/>
          <w:b/>
          <w:bCs/>
          <w:color w:val="3A4A61"/>
          <w:sz w:val="21"/>
          <w:szCs w:val="21"/>
        </w:rPr>
        <w:t xml:space="preserve">[__] gün</w:t>
      </w:r>
      <w:r>
        <w:rPr>
          <w:rFonts w:ascii="Calibri" w:cs="Calibri" w:eastAsia="Calibri" w:hAnsi="Calibri"/>
          <w:color w:val="3A4A61"/>
          <w:sz w:val="21"/>
          <w:szCs w:val="21"/>
        </w:rPr>
        <w:t xml:space="preserve"> içinde ödenmemesi halinde, çalışanın ayrıca ihtarına gerek kalmaksızın kalan taksitlerin tamamı muaccel hale gelir. Muaccel hale gelen tutara, vade tarihinden itibaren </w:t>
      </w:r>
      <w:r>
        <w:rPr>
          <w:rFonts w:ascii="Calibri" w:cs="Calibri" w:eastAsia="Calibri" w:hAnsi="Calibri"/>
          <w:color w:val="1D5888"/>
          <w:sz w:val="21"/>
          <w:szCs w:val="21"/>
          <w:shd w:fill="EAF1F8" w:color="auto" w:val="clear"/>
        </w:rPr>
        <w:t xml:space="preserve">[yürürlükteki mevzuata göre belirlenen faiz / yıllık %(__) temerrüt faizi]</w:t>
      </w:r>
      <w:r>
        <w:rPr>
          <w:rFonts w:ascii="Calibri" w:cs="Calibri" w:eastAsia="Calibri" w:hAnsi="Calibri"/>
          <w:color w:val="3A4A61"/>
          <w:sz w:val="21"/>
          <w:szCs w:val="21"/>
        </w:rPr>
        <w:t xml:space="preserve"> uygulanır. Çalışanın kanundan doğan diğer hakları saklıdır.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İbra Etkisi ve Saklı Haklar</w:t>
      </w:r>
    </w:p>
    <w:p>
      <w:pPr>
        <w:spacing w:after="120" w:before="0" w:line="300"/>
        <w:jc w:val="both"/>
      </w:pPr>
      <w:r>
        <w:rPr>
          <w:rFonts w:ascii="Calibri" w:cs="Calibri" w:eastAsia="Calibri" w:hAnsi="Calibri"/>
          <w:color w:val="3A4A61"/>
          <w:sz w:val="21"/>
          <w:szCs w:val="21"/>
        </w:rPr>
        <w:t xml:space="preserve">Bu protokol bir ibra sözleşmesi değildir. Taksitler ödendikçe, ödenen tutarlar ödendikleri miktarla sınırlı olarak makbuz hükmündedir. Tüm taksitlerin eksiksiz ödenmesinden sonra taraflar, Türk Borçlar Kanunu md. 420'deki şartlara (yazılı olma, sona ermeden itibaren en az bir ay geçmiş olması, alacak türü ve miktarının açıkça yazılması, ödemenin noksansız ve banka aracılığıyla yapılması) uygun ayrı bir ibraname düzenleyebilir.</w:t>
      </w:r>
    </w:p>
    <w:p>
      <w:pPr>
        <w:spacing w:after="120" w:before="0" w:line="300"/>
        <w:jc w:val="both"/>
      </w:pPr>
      <w:r>
        <w:rPr>
          <w:rFonts w:ascii="Calibri" w:cs="Calibri" w:eastAsia="Calibri" w:hAnsi="Calibri"/>
          <w:color w:val="3A4A61"/>
          <w:sz w:val="21"/>
          <w:szCs w:val="21"/>
        </w:rPr>
        <w:t xml:space="preserve">Protokolde yer almayan alacak kalemleri bakımından tarafların hakları saklıdır. [Taraflar, uyuşmazlığın arabuluculuk yoluyla sonuçlandırılması ve anlaşma belgesine bağlanması halinde bu protokolün anlaşma belgesine eklenmesini kabul eder.]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Yasal Kesintiler ve Belgeler</w:t>
      </w:r>
    </w:p>
    <w:p>
      <w:pPr>
        <w:spacing w:after="120" w:before="0" w:line="300"/>
        <w:jc w:val="both"/>
      </w:pPr>
      <w:r>
        <w:rPr>
          <w:rFonts w:ascii="Calibri" w:cs="Calibri" w:eastAsia="Calibri" w:hAnsi="Calibri"/>
          <w:color w:val="3A4A61"/>
          <w:sz w:val="21"/>
          <w:szCs w:val="21"/>
        </w:rPr>
        <w:t xml:space="preserve">Yasal kesintiler, her ödeme için düzenlenecek bordroda gösterilir. İşveren her taksit ödemesinden sonra dekontun bir örneğini çalışanın e-posta adresine gönderir. Çalışma belgesi (İş Kanunu md. 28) ödeme planından bağımsız olarak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teslim edilmiştir / edilecektir.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Uyuşmazlık ve Yürürlük</w:t>
      </w:r>
    </w:p>
    <w:p>
      <w:pPr>
        <w:spacing w:after="120" w:before="0" w:line="300"/>
        <w:jc w:val="both"/>
      </w:pPr>
      <w:r>
        <w:rPr>
          <w:rFonts w:ascii="Calibri" w:cs="Calibri" w:eastAsia="Calibri" w:hAnsi="Calibri"/>
          <w:color w:val="3A4A61"/>
          <w:sz w:val="21"/>
          <w:szCs w:val="21"/>
        </w:rPr>
        <w:t xml:space="preserve">Bu protokolden doğacak uyuşmazlıklarda, dava açılmadan önce arabulucuya başvurulması zorunludur (7036 sayılı İş Mahkemeleri Kanunu md. 3); yetkili mahkeme aynı Kanunun 6. maddesine göre belirlenir. Protokol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 ve bir ekten ibaret olup </w:t>
      </w:r>
      <w:r>
        <w:rPr>
          <w:rFonts w:ascii="Calibri" w:cs="Calibri" w:eastAsia="Calibri" w:hAnsi="Calibri"/>
          <w:color w:val="1D5888"/>
          <w:sz w:val="21"/>
          <w:szCs w:val="21"/>
          <w:shd w:fill="EAF1F8" w:color="auto" w:val="clear"/>
        </w:rPr>
        <w:t xml:space="preserve">[2]</w:t>
      </w:r>
      <w:r>
        <w:rPr>
          <w:rFonts w:ascii="Calibri" w:cs="Calibri" w:eastAsia="Calibri" w:hAnsi="Calibri"/>
          <w:color w:val="3A4A61"/>
          <w:sz w:val="21"/>
          <w:szCs w:val="21"/>
        </w:rPr>
        <w:t xml:space="preserve"> nüsha olarak düzenlenmiş, taraflarca okunarak imzalanmış ve birer nüshası taraflara verilmiştir.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Ek – Ödeme Takip Tablosu</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03"/>
        <w:gridCol w:w="1606"/>
        <w:gridCol w:w="1606"/>
        <w:gridCol w:w="1606"/>
        <w:gridCol w:w="2409"/>
        <w:gridCol w:w="1608"/>
      </w:tblGrid>
      <w:tr>
        <w:trPr>
          <w:cantSplit/>
          <w:trHeight w:val="400" w:hRule="atLeast"/>
        </w:trPr>
        <w:tc>
          <w:tcPr>
            <w:tcW w:type="dxa" w:w="8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Taksit No</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Vade</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Tarihi</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Ödenen Tutar (TL)</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Dekont / Referans No</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Eden</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03"/>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İK ve Finans İçin İç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Taksitlendirme çalışanın serbest iradesiyle kabul edildi; çalışan protokolü okuyup değerlendirmek için yeterli süre aldı.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Alacak kalemleri ve tutarlar hesap tablosuyla eşleştirildi; kıdem tazminatında fesih tarihindeki tavan uygulandı.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Taksit sayısı ve vadesi, gecikme faizi riskiyle birlikte değerlendirildi; mümkünse kısa vade seçildi.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taksit için vade takibi finans takvimine işlendi; sorumlu kişi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Ödemelerin yalnızca banka aracılığıyla yapılacağı finans birimine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Muacceliyet ve temerrüt hükmünün işletme için yaratacağı risk yönetimle paylaşıldı.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Tüm taksitler ödendikten sonra ibraname ihtiyacı TBK md. 420 şartlarıyla birlikte hukuk danışmanıyla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Protokol, dekontlar ve ödeme takip tablosu özlük dosyasında saklandı.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Kıdem tazminatı iş sözleşmesinin sona ermesiyle ödenmesi gereken bir alacaktır; taksitlendirme ancak çalışanın açık ve yazılı rızasıyla yapılabilir ve gecikme faizi riskini ortadan kaldırmaz. Bu şablonu avukatınızla birlikte somut olaya göre uyarlayın; faiz ve temerrüt maddelerini güncel mevzuata göre kontrol edin.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PROTOKOL ŞABLONU</w:t>
          </w:r>
          <w:r>
            <w:rPr>
              <w:rFonts w:ascii="Calibri" w:cs="Calibri" w:eastAsia="Calibri" w:hAnsi="Calibri"/>
              <w:color w:val="8C9BB0"/>
              <w:sz w:val="16"/>
              <w:szCs w:val="16"/>
            </w:rPr>
            <w:t xml:space="preserve">  ·  Form No: [İK-S-43]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Kıdem ve İhbar Tazminatı Taksitli Ödeme Protokolü</dc:title>
  <dc:creator>İK Partner</dc:creator>
  <dc:description>Kıdem ve İhbar Tazminatı Taksitli Ödeme Protokolü — İK Partner (ikpartner.com) ücretsiz İK şablonu</dc:description>
  <cp:lastModifiedBy>Un-named</cp:lastModifiedBy>
  <cp:revision>1</cp:revision>
  <dcterms:created xsi:type="dcterms:W3CDTF">2026-10-13T21:42:01.204Z</dcterms:created>
  <dcterms:modified xsi:type="dcterms:W3CDTF">2026-10-13T21:42:01.204Z</dcterms:modified>
</cp:coreProperties>
</file>

<file path=docProps/custom.xml><?xml version="1.0" encoding="utf-8"?>
<Properties xmlns="http://schemas.openxmlformats.org/officeDocument/2006/custom-properties" xmlns:vt="http://schemas.openxmlformats.org/officeDocument/2006/docPropsVTypes"/>
</file>