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İşten Çıkış Alacak Hesap ve Ödeme Formu</w:t>
      </w:r>
    </w:p>
    <w:p>
      <w:pPr>
        <w:pBdr>
          <w:bottom w:val="single" w:color="13B8A7" w:sz="12" w:space="8"/>
        </w:pBdr>
        <w:spacing w:after="220"/>
      </w:pPr>
      <w:r>
        <w:rPr>
          <w:rFonts w:ascii="Calibri" w:cs="Calibri" w:eastAsia="Calibri" w:hAnsi="Calibri"/>
          <w:color w:val="5A6B82"/>
          <w:sz w:val="21"/>
          <w:szCs w:val="21"/>
        </w:rPr>
        <w:t xml:space="preserve">İş sözleşmesi sona eren çalışanın son ücret, kullanılmayan izin, kıdem ve ihbar tazminatı ile kesinti ve mahsuplarının hesaplandığı, onaylandığı ve ödemenin belgelendiği form.</w:t>
      </w:r>
    </w:p>
    <w:p>
      <w:pPr>
        <w:keepNext/>
        <w:pBdr>
          <w:bottom w:val="single" w:color="DCE4EE" w:sz="6" w:space="4"/>
        </w:pBdr>
        <w:spacing w:before="280" w:after="120"/>
      </w:pPr>
      <w:r>
        <w:rPr>
          <w:rFonts w:ascii="Calibri" w:cs="Calibri" w:eastAsia="Calibri" w:hAnsi="Calibri"/>
          <w:b/>
          <w:bCs/>
          <w:color w:val="0E2849"/>
          <w:sz w:val="25"/>
          <w:szCs w:val="25"/>
        </w:rPr>
        <w:t xml:space="preserve">1. Çalışan ve Fesih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Son Çalışma Günü (Fesih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Hizmet Süresi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İşten Ayrılış Kodu</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Hizmet süresi: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yıl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ay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  ·  Kıdeme sayılmayan süreler (ücretsiz izin vb.):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w:t>
      </w:r>
    </w:p>
    <w:p>
      <w:pPr>
        <w:spacing w:after="120" w:before="0" w:line="300"/>
        <w:jc w:val="both"/>
      </w:pPr>
      <w:r>
        <w:rPr>
          <w:rFonts w:ascii="Calibri" w:cs="Calibri" w:eastAsia="Calibri" w:hAnsi="Calibri"/>
          <w:b/>
          <w:bCs/>
          <w:color w:val="3A4A61"/>
          <w:sz w:val="21"/>
          <w:szCs w:val="21"/>
        </w:rPr>
        <w:t xml:space="preserve">Sona erme şekli: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İşveren feshi – geçerli neden / bildirimli fesih (İş Kanunu md. 17–18)</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İşveren feshi – ahlak ve iyiniyet kurallarına aykırılık (md. 25/II)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İşveren feshi – sağlık veya zorlayıcı neden (md. 25/I, 25/III)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istifası (bildirimli)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haklı nedenle feshi (md. 24)</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Emeklilik / yaşlılık aylığı veya yaş dışındaki şartları tamamlayarak ayrılma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Muvazzaf askerlik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Kadın çalışanın evlilik tarihinden itibaren bir yıl içinde ayrılması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Belirli süreli sözleşmenin süre bitimiyle sona ermesi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Deneme süresi içinde fesih</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İkale (karşılıklı anlaşma) – protokol tarihi: </w:t>
      </w:r>
      <w:r>
        <w:rPr>
          <w:rFonts w:ascii="Calibri" w:cs="Calibri" w:eastAsia="Calibri" w:hAnsi="Calibri"/>
          <w:color w:val="1D5888"/>
          <w:sz w:val="21"/>
          <w:szCs w:val="21"/>
          <w:shd w:fill="EAF1F8" w:color="auto" w:val="clear"/>
        </w:rPr>
        <w:t xml:space="preserve">[Tarih]</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Ölüm</w:t>
      </w:r>
    </w:p>
    <w:p>
      <w:pPr>
        <w:spacing w:after="120" w:before="0" w:line="300"/>
        <w:jc w:val="both"/>
      </w:pPr>
      <w:r>
        <w:rPr>
          <w:rFonts w:ascii="Calibri" w:cs="Calibri" w:eastAsia="Calibri" w:hAnsi="Calibri"/>
          <w:color w:val="3A4A61"/>
          <w:sz w:val="21"/>
          <w:szCs w:val="21"/>
        </w:rPr>
        <w:t xml:space="preserve">İhbar süresi uygulaması:</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Süre kullandırıldı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Ücreti peşin ödendi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Uygulanmadı (haklı fesih / gerekmiyor)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süreye uymadı</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2. Hesaba Esas Ücret</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015"/>
        <w:gridCol w:w="2409"/>
        <w:gridCol w:w="3214"/>
      </w:tblGrid>
      <w:tr>
        <w:trPr>
          <w:cantSplit/>
          <w:trHeight w:val="400" w:hRule="atLeast"/>
        </w:trPr>
        <w:tc>
          <w:tcPr>
            <w:tcW w:type="dxa" w:w="40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Aylık Brüt Tutar (TL)</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brüt çıplak ücret</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ay bordrosu</w:t>
            </w:r>
          </w:p>
        </w:tc>
      </w:tr>
      <w:tr>
        <w:trPr>
          <w:cantSplit/>
          <w:trHeight w:val="380" w:hRule="atLeast"/>
        </w:trPr>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Düzenli yol / yemek yardımı (nakdi veya ayni)</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[Aylık karşılık]</w:t>
            </w:r>
          </w:p>
        </w:tc>
      </w:tr>
      <w:tr>
        <w:trPr>
          <w:cantSplit/>
          <w:trHeight w:val="380" w:hRule="atLeast"/>
        </w:trPr>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Düzenli prim / ikramiye (aylık ortalama)</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[Son 12 ay ortalaması]</w:t>
            </w:r>
          </w:p>
        </w:tc>
      </w:tr>
      <w:tr>
        <w:trPr>
          <w:cantSplit/>
          <w:trHeight w:val="380" w:hRule="atLeast"/>
        </w:trPr>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Diğer süreklilik arz eden menfaat</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4015"/>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Giydirilmiş brüt ücret</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 ve ihbar tazminatına esas</w:t>
            </w:r>
          </w:p>
        </w:tc>
      </w:tr>
    </w:tbl>
    <w:p>
      <w:pPr>
        <w:spacing w:after="120" w:before="0"/>
      </w:pPr>
    </w:p>
    <w:p>
      <w:pPr>
        <w:spacing w:after="120" w:before="0" w:line="300"/>
        <w:jc w:val="both"/>
      </w:pPr>
      <w:r>
        <w:rPr>
          <w:rFonts w:ascii="Calibri" w:cs="Calibri" w:eastAsia="Calibri" w:hAnsi="Calibri"/>
          <w:color w:val="3A4A61"/>
          <w:sz w:val="21"/>
          <w:szCs w:val="21"/>
        </w:rPr>
        <w:t xml:space="preserve">Kıdem tazminatına esas günlük ücret: </w:t>
      </w:r>
      <w:r>
        <w:rPr>
          <w:rFonts w:ascii="Calibri" w:cs="Calibri" w:eastAsia="Calibri" w:hAnsi="Calibri"/>
          <w:color w:val="1D5888"/>
          <w:sz w:val="21"/>
          <w:szCs w:val="21"/>
          <w:shd w:fill="EAF1F8" w:color="auto" w:val="clear"/>
        </w:rPr>
        <w:t xml:space="preserve">[Giydirilmiş ücret]</w:t>
      </w:r>
      <w:r>
        <w:rPr>
          <w:rFonts w:ascii="Calibri" w:cs="Calibri" w:eastAsia="Calibri" w:hAnsi="Calibri"/>
          <w:color w:val="3A4A61"/>
          <w:sz w:val="21"/>
          <w:szCs w:val="21"/>
        </w:rPr>
        <w:t xml:space="preserve"> / 30 =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  Fesih tarihindeki kıdem tazminatı tavanı: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w:t>
      </w:r>
      <w:r>
        <w:rPr>
          <w:rFonts w:ascii="Calibri" w:cs="Calibri" w:eastAsia="Calibri" w:hAnsi="Calibri"/>
          <w:color w:val="1D5888"/>
          <w:sz w:val="21"/>
          <w:szCs w:val="21"/>
          <w:shd w:fill="EAF1F8" w:color="auto" w:val="clear"/>
        </w:rPr>
        <w:t xml:space="preserve">[Dönem]</w:t>
      </w:r>
      <w:r>
        <w:rPr>
          <w:rFonts w:ascii="Calibri" w:cs="Calibri" w:eastAsia="Calibri" w:hAnsi="Calibri"/>
          <w:color w:val="3A4A61"/>
          <w:sz w:val="21"/>
          <w:szCs w:val="21"/>
        </w:rPr>
        <w:t xml:space="preserve">)</w:t>
      </w:r>
    </w:p>
    <w:p>
      <w:pPr>
        <w:keepNext/>
        <w:pBdr>
          <w:bottom w:val="single" w:color="DCE4EE" w:sz="6" w:space="4"/>
        </w:pBdr>
        <w:spacing w:before="280" w:after="120"/>
      </w:pPr>
      <w:r>
        <w:rPr>
          <w:rFonts w:ascii="Calibri" w:cs="Calibri" w:eastAsia="Calibri" w:hAnsi="Calibri"/>
          <w:b/>
          <w:bCs/>
          <w:color w:val="0E2849"/>
          <w:sz w:val="25"/>
          <w:szCs w:val="25"/>
        </w:rPr>
        <w:t xml:space="preserve">3. Alacak Kalemleri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1807"/>
        <w:gridCol w:w="1807"/>
        <w:gridCol w:w="1204"/>
        <w:gridCol w:w="1204"/>
        <w:gridCol w:w="1207"/>
      </w:tblGrid>
      <w:tr>
        <w:trPr>
          <w:cantSplit/>
          <w:trHeight w:val="400" w:hRule="atLeast"/>
        </w:trPr>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Alacak Kalemi</w:t>
            </w:r>
          </w:p>
        </w:tc>
        <w:tc>
          <w:tcPr>
            <w:tcW w:type="dxa" w:w="18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w:t>
            </w:r>
          </w:p>
        </w:tc>
        <w:tc>
          <w:tcPr>
            <w:tcW w:type="dxa" w:w="18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Hesap Esası</w:t>
            </w:r>
          </w:p>
        </w:tc>
        <w:tc>
          <w:tcPr>
            <w:tcW w:type="dxa" w:w="12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Brüt (TL)</w:t>
            </w:r>
          </w:p>
        </w:tc>
        <w:tc>
          <w:tcPr>
            <w:tcW w:type="dxa" w:w="12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Kesinti (TL)</w:t>
            </w:r>
          </w:p>
        </w:tc>
        <w:tc>
          <w:tcPr>
            <w:tcW w:type="dxa" w:w="12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Net (TL)</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dönem ücreti (kıst)</w:t>
            </w:r>
          </w:p>
        </w:tc>
        <w:tc>
          <w:tcPr>
            <w:tcW w:type="dxa" w:w="18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 md. 32</w:t>
            </w:r>
          </w:p>
        </w:tc>
        <w:tc>
          <w:tcPr>
            <w:tcW w:type="dxa" w:w="180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w:t>
            </w: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7"/>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Fazla çalışma ücreti</w:t>
            </w:r>
          </w:p>
        </w:tc>
        <w:tc>
          <w:tcPr>
            <w:tcW w:type="dxa" w:w="18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 md. 41</w:t>
            </w:r>
          </w:p>
        </w:tc>
        <w:tc>
          <w:tcPr>
            <w:tcW w:type="dxa" w:w="18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saat</w:t>
            </w: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Hafta tatili / genel tatil çalışması</w:t>
            </w:r>
          </w:p>
        </w:tc>
        <w:tc>
          <w:tcPr>
            <w:tcW w:type="dxa" w:w="18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 md. 46–47</w:t>
            </w:r>
          </w:p>
        </w:tc>
        <w:tc>
          <w:tcPr>
            <w:tcW w:type="dxa" w:w="180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w:t>
            </w: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7"/>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Kullanılmayan yıllık izin ücreti</w:t>
            </w:r>
          </w:p>
        </w:tc>
        <w:tc>
          <w:tcPr>
            <w:tcW w:type="dxa" w:w="18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 md. 59</w:t>
            </w:r>
          </w:p>
        </w:tc>
        <w:tc>
          <w:tcPr>
            <w:tcW w:type="dxa" w:w="18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w:t>
            </w: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Hak edilmiş prim / ikramiye</w:t>
            </w:r>
          </w:p>
        </w:tc>
        <w:tc>
          <w:tcPr>
            <w:tcW w:type="dxa" w:w="18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Sözleşme / politika</w:t>
            </w:r>
          </w:p>
        </w:tc>
        <w:tc>
          <w:tcPr>
            <w:tcW w:type="dxa" w:w="180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[Dönem]</w:t>
            </w: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7"/>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 tazminatı</w:t>
            </w:r>
          </w:p>
        </w:tc>
        <w:tc>
          <w:tcPr>
            <w:tcW w:type="dxa" w:w="18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1475 s. K. md. 14</w:t>
            </w:r>
          </w:p>
        </w:tc>
        <w:tc>
          <w:tcPr>
            <w:tcW w:type="dxa" w:w="18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yıl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ay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w:t>
            </w: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İhbar tazminatı</w:t>
            </w:r>
          </w:p>
        </w:tc>
        <w:tc>
          <w:tcPr>
            <w:tcW w:type="dxa" w:w="18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 md. 17</w:t>
            </w:r>
          </w:p>
        </w:tc>
        <w:tc>
          <w:tcPr>
            <w:tcW w:type="dxa" w:w="180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hafta</w:t>
            </w: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7"/>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Diğer: </w:t>
            </w:r>
            <w:r>
              <w:rPr>
                <w:rFonts w:ascii="Calibri" w:cs="Calibri" w:eastAsia="Calibri" w:hAnsi="Calibri"/>
                <w:color w:val="1D5888"/>
                <w:sz w:val="19"/>
                <w:szCs w:val="19"/>
                <w:shd w:fill="EAF1F8" w:color="auto" w:val="clear"/>
              </w:rPr>
              <w:t xml:space="preserve">[Açıklama]</w:t>
            </w:r>
          </w:p>
        </w:tc>
        <w:tc>
          <w:tcPr>
            <w:tcW w:type="dxa" w:w="18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[Dayanak]</w:t>
            </w:r>
          </w:p>
        </w:tc>
        <w:tc>
          <w:tcPr>
            <w:tcW w:type="dxa" w:w="1807"/>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TOPLAM ALACAK</w:t>
            </w:r>
          </w:p>
        </w:tc>
        <w:tc>
          <w:tcPr>
            <w:tcW w:type="dxa" w:w="1807"/>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Kesinti ve Mahsuplar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015"/>
        <w:gridCol w:w="4015"/>
        <w:gridCol w:w="1608"/>
      </w:tblGrid>
      <w:tr>
        <w:trPr>
          <w:cantSplit/>
          <w:trHeight w:val="400" w:hRule="atLeast"/>
        </w:trPr>
        <w:tc>
          <w:tcPr>
            <w:tcW w:type="dxa" w:w="40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Kesinti / Mahsup</w:t>
            </w:r>
          </w:p>
        </w:tc>
        <w:tc>
          <w:tcPr>
            <w:tcW w:type="dxa" w:w="40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 / Belge</w:t>
            </w:r>
          </w:p>
        </w:tc>
        <w:tc>
          <w:tcPr>
            <w:tcW w:type="dxa" w:w="160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Tutar (TL)</w:t>
            </w:r>
          </w:p>
        </w:tc>
      </w:tr>
      <w:tr>
        <w:trPr>
          <w:cantSplit/>
          <w:trHeight w:val="380" w:hRule="atLeast"/>
        </w:trPr>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 işçi payı ve işsizlik sigortası işçi payı</w:t>
            </w:r>
          </w:p>
        </w:tc>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5510 s. K. (prime tabi kalemler)</w:t>
            </w:r>
          </w:p>
        </w:tc>
        <w:tc>
          <w:tcPr>
            <w:tcW w:type="dxa" w:w="1608"/>
            <w:tcMar>
              <w:top w:type="dxa" w:w="60"/>
              <w:left w:type="dxa" w:w="110"/>
              <w:bottom w:type="dxa" w:w="60"/>
              <w:right w:type="dxa" w:w="110"/>
            </w:tcMar>
            <w:vAlign w:val="center"/>
          </w:tcPr>
          <w:p>
            <w:pPr>
              <w:spacing w:before="40" w:after="40"/>
            </w:pPr>
          </w:p>
        </w:tc>
      </w:tr>
      <w:tr>
        <w:trPr>
          <w:cantSplit/>
          <w:trHeight w:val="380" w:hRule="atLeast"/>
        </w:trPr>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Gelir vergisi</w:t>
            </w:r>
          </w:p>
        </w:tc>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w:t>
            </w:r>
          </w:p>
        </w:tc>
        <w:tc>
          <w:tcPr>
            <w:tcW w:type="dxa" w:w="160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Damga vergisi</w:t>
            </w:r>
          </w:p>
        </w:tc>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w:t>
            </w:r>
          </w:p>
        </w:tc>
        <w:tc>
          <w:tcPr>
            <w:tcW w:type="dxa" w:w="1608"/>
            <w:tcMar>
              <w:top w:type="dxa" w:w="60"/>
              <w:left w:type="dxa" w:w="110"/>
              <w:bottom w:type="dxa" w:w="60"/>
              <w:right w:type="dxa" w:w="110"/>
            </w:tcMar>
            <w:vAlign w:val="center"/>
          </w:tcPr>
          <w:p>
            <w:pPr>
              <w:spacing w:before="40" w:after="40"/>
            </w:pPr>
          </w:p>
        </w:tc>
      </w:tr>
      <w:tr>
        <w:trPr>
          <w:cantSplit/>
          <w:trHeight w:val="380" w:hRule="atLeast"/>
        </w:trPr>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avansı mahsubu</w:t>
            </w:r>
          </w:p>
        </w:tc>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Avans talep formu – çalışanın yazılı onayı</w:t>
            </w:r>
          </w:p>
        </w:tc>
        <w:tc>
          <w:tcPr>
            <w:tcW w:type="dxa" w:w="160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Personel borcu taksit bakiyesi</w:t>
            </w:r>
          </w:p>
        </w:tc>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Borç sözleşmesi – çalışanın yazılı onayı</w:t>
            </w:r>
          </w:p>
        </w:tc>
        <w:tc>
          <w:tcPr>
            <w:tcW w:type="dxa" w:w="1608"/>
            <w:tcMar>
              <w:top w:type="dxa" w:w="60"/>
              <w:left w:type="dxa" w:w="110"/>
              <w:bottom w:type="dxa" w:w="60"/>
              <w:right w:type="dxa" w:w="110"/>
            </w:tcMar>
            <w:vAlign w:val="center"/>
          </w:tcPr>
          <w:p>
            <w:pPr>
              <w:spacing w:before="40" w:after="40"/>
            </w:pPr>
          </w:p>
        </w:tc>
      </w:tr>
      <w:tr>
        <w:trPr>
          <w:cantSplit/>
          <w:trHeight w:val="380" w:hRule="atLeast"/>
        </w:trPr>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İcra / nafaka kesintisi</w:t>
            </w:r>
          </w:p>
        </w:tc>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İcra dairesi yazısı no: </w:t>
            </w:r>
            <w:r>
              <w:rPr>
                <w:rFonts w:ascii="Calibri" w:cs="Calibri" w:eastAsia="Calibri" w:hAnsi="Calibri"/>
                <w:color w:val="1D5888"/>
                <w:sz w:val="19"/>
                <w:szCs w:val="19"/>
                <w:shd w:fill="EAF1F8" w:color="auto" w:val="clear"/>
              </w:rPr>
              <w:t xml:space="preserve">[__]</w:t>
            </w:r>
          </w:p>
        </w:tc>
        <w:tc>
          <w:tcPr>
            <w:tcW w:type="dxa" w:w="160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Diğer: </w:t>
            </w:r>
            <w:r>
              <w:rPr>
                <w:rFonts w:ascii="Calibri" w:cs="Calibri" w:eastAsia="Calibri" w:hAnsi="Calibri"/>
                <w:color w:val="1D5888"/>
                <w:sz w:val="19"/>
                <w:szCs w:val="19"/>
                <w:shd w:fill="EAF1F8" w:color="auto" w:val="clear"/>
              </w:rPr>
              <w:t xml:space="preserve">[Açıklama]</w:t>
            </w:r>
          </w:p>
        </w:tc>
        <w:tc>
          <w:tcPr>
            <w:tcW w:type="dxa" w:w="401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[Belge]</w:t>
            </w:r>
          </w:p>
        </w:tc>
        <w:tc>
          <w:tcPr>
            <w:tcW w:type="dxa" w:w="1608"/>
            <w:tcMar>
              <w:top w:type="dxa" w:w="60"/>
              <w:left w:type="dxa" w:w="110"/>
              <w:bottom w:type="dxa" w:w="60"/>
              <w:right w:type="dxa" w:w="110"/>
            </w:tcMar>
            <w:vAlign w:val="center"/>
          </w:tcPr>
          <w:p>
            <w:pPr>
              <w:spacing w:before="40" w:after="40"/>
            </w:pPr>
          </w:p>
        </w:tc>
      </w:tr>
      <w:tr>
        <w:trPr>
          <w:cantSplit/>
          <w:trHeight w:val="380" w:hRule="atLeast"/>
        </w:trPr>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TOPLAM KESİNTİ</w:t>
            </w:r>
          </w:p>
        </w:tc>
        <w:tc>
          <w:tcPr>
            <w:tcW w:type="dxa" w:w="4015"/>
            <w:shd w:fill="F5F8FB" w:color="auto" w:val="clear"/>
            <w:tcMar>
              <w:top w:type="dxa" w:w="60"/>
              <w:left w:type="dxa" w:w="110"/>
              <w:bottom w:type="dxa" w:w="60"/>
              <w:right w:type="dxa" w:w="110"/>
            </w:tcMar>
            <w:vAlign w:val="center"/>
          </w:tcPr>
          <w:p>
            <w:pPr>
              <w:spacing w:before="40" w:after="40"/>
            </w:pPr>
          </w:p>
        </w:tc>
        <w:tc>
          <w:tcPr>
            <w:tcW w:type="dxa" w:w="1608"/>
            <w:shd w:fill="F5F8FB" w:color="auto" w:val="clear"/>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NET ÖDENECEK TUTAR (TL)</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Yazıyla</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Ödeme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Banka / Şube</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IBAN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Ödeme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Dekont / İşlem No</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Ödeme ve İbra Uyarısı</w:t>
            </w:r>
          </w:p>
          <w:p>
            <w:pPr>
              <w:spacing w:after="20" w:line="280"/>
            </w:pPr>
            <w:r>
              <w:rPr>
                <w:rFonts w:ascii="Calibri" w:cs="Calibri" w:eastAsia="Calibri" w:hAnsi="Calibri"/>
                <w:color w:val="3A4A61"/>
                <w:sz w:val="19"/>
                <w:szCs w:val="19"/>
              </w:rPr>
              <w:t xml:space="preserve">Ödemeler banka aracılığıyla yapılmalı, her alacak kalemi dekont açıklamasında veya ödeme listesinde ayrı ayrı gösterilmelidir. Bu form bir ibraname değildir; çalışana yalnızca hesap dökümünün teslim alındığını imzalatın. İbra sözleşmesi Türk Borçlar Kanunu md. 420 uyarınca ancak sözleşmenin sona ermesinden en az bir ay sonra, alacak türü ve miktarı açıkça belirtilerek ve ödeme eksiksiz banka aracılığıyla yapılarak düzenlenebilir.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6. Onaylar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Hesaplayan (Bordro)</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Kontrol Eden (İK)</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Onaylayan (Mali İşler / Yönetim)</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120" w:before="0" w:line="300"/>
        <w:jc w:val="both"/>
      </w:pPr>
      <w:r>
        <w:rPr>
          <w:rFonts w:ascii="Calibri" w:cs="Calibri" w:eastAsia="Calibri" w:hAnsi="Calibri"/>
          <w:color w:val="3A4A61"/>
          <w:sz w:val="21"/>
          <w:szCs w:val="21"/>
        </w:rPr>
        <w:t xml:space="preserve">Yukarıdaki hesap dökümünün bir suretini teslim aldım.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 (Teslim Alan)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Ayrılış Günü Alacak ve Belge Kontrol Listesi</w:t>
      </w:r>
    </w:p>
    <w:p>
      <w:pPr>
        <w:spacing w:after="120" w:before="0" w:line="300"/>
        <w:jc w:val="both"/>
      </w:pPr>
      <w:r>
        <w:rPr>
          <w:rFonts w:ascii="Calibri" w:cs="Calibri" w:eastAsia="Calibri" w:hAnsi="Calibri"/>
          <w:color w:val="3A4A61"/>
          <w:sz w:val="21"/>
          <w:szCs w:val="21"/>
        </w:rPr>
        <w:t xml:space="preserve">Bu sayfa iç kullanım içindir; form ile birlikte özlük dosyasında saklanır.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504"/>
        <w:gridCol w:w="2628"/>
        <w:gridCol w:w="3506"/>
      </w:tblGrid>
      <w:tr>
        <w:trPr>
          <w:cantSplit/>
          <w:trHeight w:val="400" w:hRule="atLeast"/>
        </w:trPr>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Sona Erme Şekli</w:t>
            </w:r>
          </w:p>
        </w:tc>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Kıdem Tazminatı</w:t>
            </w:r>
          </w:p>
        </w:tc>
        <w:tc>
          <w:tcPr>
            <w:tcW w:type="dxa" w:w="35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İhbar Tazminatı (çalışana)</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İşveren feshi (geçerli neden / bildirimli)</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Var (1 yıl ve üzeri)</w:t>
            </w:r>
          </w:p>
        </w:tc>
        <w:tc>
          <w:tcPr>
            <w:tcW w:type="dxa" w:w="35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Süre kullandırılmadıysa veya peşin ödenmediyse var</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İşveren feshi – md. 25/II</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Yok</w:t>
            </w:r>
          </w:p>
        </w:tc>
        <w:tc>
          <w:tcPr>
            <w:tcW w:type="dxa" w:w="35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Yok</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İşveren feshi – md. 25/I veya 25/III</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Var (1 yıl ve üzeri)</w:t>
            </w:r>
          </w:p>
        </w:tc>
        <w:tc>
          <w:tcPr>
            <w:tcW w:type="dxa" w:w="35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Yok (bildirimsiz fesih hakkı)</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Çalışanın istifası</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Yok</w:t>
            </w:r>
          </w:p>
        </w:tc>
        <w:tc>
          <w:tcPr>
            <w:tcW w:type="dxa" w:w="35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Yok (çalışan süreye uymadıysa işverenin talep hakkı doğabilir)</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Çalışanın haklı feshi (md. 24)</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Var (1 yıl ve üzeri)</w:t>
            </w:r>
          </w:p>
        </w:tc>
        <w:tc>
          <w:tcPr>
            <w:tcW w:type="dxa" w:w="35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Yok</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Emeklilik / askerlik / evlilik</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Var (1 yıl ve üzeri)</w:t>
            </w:r>
          </w:p>
        </w:tc>
        <w:tc>
          <w:tcPr>
            <w:tcW w:type="dxa" w:w="35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Yok</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Belirli süreli sözleşmenin süre bitimi</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Var (1 yıl ve üzeri)</w:t>
            </w:r>
          </w:p>
        </w:tc>
        <w:tc>
          <w:tcPr>
            <w:tcW w:type="dxa" w:w="35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Yok</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Ölüm</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Var – mirasçılara (1 yıl ve üzeri)</w:t>
            </w:r>
          </w:p>
        </w:tc>
        <w:tc>
          <w:tcPr>
            <w:tcW w:type="dxa" w:w="35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Yok</w:t>
            </w:r>
          </w:p>
        </w:tc>
      </w:tr>
    </w:tbl>
    <w:p>
      <w:pPr>
        <w:spacing w:after="120" w:before="0"/>
      </w:pPr>
    </w:p>
    <w:p>
      <w:pPr>
        <w:spacing w:after="120" w:before="0" w:line="300"/>
        <w:jc w:val="both"/>
      </w:pPr>
      <w:r>
        <w:rPr>
          <w:rFonts w:ascii="Calibri" w:cs="Calibri" w:eastAsia="Calibri" w:hAnsi="Calibri"/>
          <w:color w:val="3A4A61"/>
          <w:sz w:val="21"/>
          <w:szCs w:val="21"/>
        </w:rPr>
        <w:t xml:space="preserve">Tablo genel kuralları gösterir; deneme süresi, ikale protokolü ve tartışmalı fesih nedenlerinde hukuki görüş alınız.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Son çalışma günü, SGK işten ayrılış bildirgesi ve fesih belgesi aynı tarihi gösteriyor.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Hizmet süresi, kıdeme sayılmayan süreler düşülerek hesaplandı; aynı işverendeki önceki çalışmalar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Kıdem tazminatı giydirilmiş ücretle hesaplandı ve fesih tarihindeki tavanla karşılaştırıldı.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İhbar süresi hizmet süresine göre doğru belirlendi (2 / 4 / 6 / 8 hafta) ve uygulama şekli işaretlendi.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Kullanılmayan yıllık izin günü izin kayıtlarıyla teyit edildi; ücret son ücret üzerinden hesaplandı.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Fazla çalışma, prim ve diğer bekleyen alacaklar ilgili birimlere soruldu.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Avans ve borç mahsupları yalnızca çalışanın yazılı onayı bulunan tutarlarla sınırlandı.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İcra kesintisi icra dairesi yazısına ve yasal sınıra uygun yapıldı.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SGK işten ayrılış bildirgesi sona erme tarihinden itibaren en geç 10 gün içinde verildi.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Ödeme banka aracılığıyla yapıldı, dekont forma eklendi.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belgesi (İş K. md. 28) ve son ücret hesap pusulası teslim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Zimmetli eşyalar teslim alındı; ibraname, gerekiyorsa sona ermeden en az bir ay sonra ayrıca düzenlenecek.</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Bordro Hatırlatması</w:t>
            </w:r>
          </w:p>
          <w:p>
            <w:pPr>
              <w:spacing w:after="20" w:line="280"/>
            </w:pPr>
            <w:r>
              <w:rPr>
                <w:rFonts w:ascii="Calibri" w:cs="Calibri" w:eastAsia="Calibri" w:hAnsi="Calibri"/>
                <w:color w:val="3A4A61"/>
                <w:sz w:val="19"/>
                <w:szCs w:val="19"/>
              </w:rPr>
              <w:t xml:space="preserve">Kıdem ve ihbar tazminatı prime esas kazanca dahil edilmez (5510 s. K. md. 80). Kıdem tazminatının yasal tavanı aşmayan kısmında yalnızca damga vergisi kesilir; ihbar tazminatı gelir ve damga vergisine tabidir. Kullanılmayan yıllık izin ücreti ise ücret niteliğindedir. Güncel tavan ve oranlar için 2026 bordro parametrelerini, vergi ve SGK uygulaması için mali müşavirinizi kontrol ediniz.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[İK-ÇK-xx]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İşten Çıkış Alacak Hesap ve Ödeme Formu</dc:title>
  <dc:creator>İK Partner</dc:creator>
  <dc:description>İşten Çıkış Alacak Hesap ve Ödeme Formu — İK Partner (ikpartner.com) ücretsiz İK şablonu</dc:description>
  <cp:lastModifiedBy>Un-named</cp:lastModifiedBy>
  <cp:revision>1</cp:revision>
  <dcterms:created xsi:type="dcterms:W3CDTF">2026-10-13T21:32:43.623Z</dcterms:created>
  <dcterms:modified xsi:type="dcterms:W3CDTF">2026-10-13T21:32:43.631Z</dcterms:modified>
</cp:coreProperties>
</file>

<file path=docProps/custom.xml><?xml version="1.0" encoding="utf-8"?>
<Properties xmlns="http://schemas.openxmlformats.org/officeDocument/2006/custom-properties" xmlns:vt="http://schemas.openxmlformats.org/officeDocument/2006/docPropsVTypes"/>
</file>