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İSG Saha Denetim Kontrol Listesi</w:t>
      </w:r>
    </w:p>
    <w:p>
      <w:pPr>
        <w:pBdr>
          <w:bottom w:val="single" w:color="13B8A7" w:sz="12" w:space="8"/>
        </w:pBdr>
        <w:spacing w:after="220"/>
      </w:pPr>
      <w:r>
        <w:rPr>
          <w:rFonts w:ascii="Calibri" w:cs="Calibri" w:eastAsia="Calibri" w:hAnsi="Calibri"/>
          <w:color w:val="5A6B82"/>
          <w:sz w:val="21"/>
          <w:szCs w:val="21"/>
        </w:rPr>
        <w:t xml:space="preserve">İşyerinin düzen, makine, elektrik, KKD, yangın, ergonomi, kimyasal ve dokümantasyon başlıklarında düzenli iç denetimi; bulguların risk düzeyine göre sınıflandırılması ve düzeltici faaliyet takibi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Denetim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Denetim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 / Saat</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Denetlenen Bölüm / Alan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Bölüm Sorumlusu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Denetçi(ler)</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Eşlik Eden (çalışan temsilcisi vb.)</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Planlı periyodik denetim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Habersiz denetim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Olay sonrası denetim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Önceki denetim takibi (No: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w:t>
      </w:r>
      <w:r>
        <w:rPr>
          <w:rFonts w:ascii="Calibri" w:cs="Calibri" w:eastAsia="Calibri" w:hAnsi="Calibri"/>
        </w:rPr>
        <w:t xml:space="preserve"/>
      </w:r>
    </w:p>
    <w:p>
      <w:pPr>
        <w:spacing w:after="120" w:before="0" w:line="300"/>
        <w:jc w:val="both"/>
      </w:pPr>
      <w:r>
        <w:rPr>
          <w:rFonts w:ascii="Calibri" w:cs="Calibri" w:eastAsia="Calibri" w:hAnsi="Calibri"/>
          <w:b/>
          <w:bCs/>
          <w:color w:val="3A4A61"/>
          <w:sz w:val="21"/>
          <w:szCs w:val="21"/>
        </w:rPr>
        <w:t xml:space="preserve">Değerlendirme:</w:t>
      </w:r>
      <w:r>
        <w:rPr>
          <w:rFonts w:ascii="Calibri" w:cs="Calibri" w:eastAsia="Calibri" w:hAnsi="Calibri"/>
          <w:color w:val="3A4A61"/>
          <w:sz w:val="21"/>
          <w:szCs w:val="21"/>
        </w:rPr>
        <w:t xml:space="preserve"> U = Uygun, UD = Uygun değil (bulgu tablosuna yazın), UY = Uygulanamaz. Hayati tehlike gördüğünüz anda işi durdurun ve bölüm sorumlusuna bildirin; denetimin bitmesini beklemeyin.</w:t>
      </w:r>
    </w:p>
    <w:p>
      <w:pPr>
        <w:keepNext/>
        <w:pBdr>
          <w:bottom w:val="single" w:color="DCE4EE" w:sz="6" w:space="4"/>
        </w:pBdr>
        <w:spacing w:before="280" w:after="120"/>
      </w:pPr>
      <w:r>
        <w:rPr>
          <w:rFonts w:ascii="Calibri" w:cs="Calibri" w:eastAsia="Calibri" w:hAnsi="Calibri"/>
          <w:b/>
          <w:bCs/>
          <w:color w:val="0E2849"/>
          <w:sz w:val="25"/>
          <w:szCs w:val="25"/>
        </w:rPr>
        <w:t xml:space="preserve">1. Genel Düzen ve Temizlik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741"/>
        <w:gridCol w:w="2226"/>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Maddesi</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UD</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Geçiş yolları ve yürüme alanları işaretli, açık ve engelsiz</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Zeminler kuru, düzgün; kayma-takılma tehlikesi yok</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Malzemeler belirlenen alanlarda, devrilmeyecek şekilde istiflenmiş</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Atıklar türüne göre ayrılmış; atık kapları taşmıyor</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Aydınlatma yeterli; arızalı armatür yok</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Makine ve Ekipman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741"/>
        <w:gridCol w:w="2226"/>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Maddesi</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UD</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Hareketli aksamların koruyucuları yerinde ve sağlam</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Acil durdurma butonları erişilebilir ve çalışıyor</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Periyodik kontrol etiketleri / raporları güncel (kaldırma araçları, basınçlı kaplar vb.)</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Bakım sırasında kilitleme-etiketleme uygulanıyor</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Makine başında güvenli kullanım talimatı asılı</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Forklift ve iş makineleri yalnızca yetkili kişilerce kullanılıyor</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Elektrik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741"/>
        <w:gridCol w:w="2226"/>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Maddesi</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UD</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Panoların kapakları kapalı, önü açık, uyarı işaretli</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Açıkta kablo, hasarlı fiş / priz yok</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Seyyar uzatma kabloları geçici ve uygun kullanılıyor</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Topraklama ve kaçak akım koruması kontrolleri güncel</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Kişisel Koruyucu Donanım (KKD)</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741"/>
        <w:gridCol w:w="2226"/>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Maddesi</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UD</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Risk değerlendirmesinde belirlenen KKD'ler sahada kullanılıyor</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KKD'ler sağlam, temiz ve kişiye uygun</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KKD zimmet ve eğitim kayıtları mevcut</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KKD gerektiren alanlarda uyarı levhaları var</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Yangın ve Acil Durum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741"/>
        <w:gridCol w:w="2226"/>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Maddesi</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UD</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Yangın söndürücüler yerinde, erişilebilir, kontrol tarihleri güncel</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Acil çıkışlar açık, kilitsiz ve işaretli</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Acil aydınlatma ve yönlendirmeler çalışıyor</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Acil durum ekip listesi ve kroki görünür yerde asılı</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İlk yardım dolabı dolu; malzemelerin son kullanma tarihleri uygun</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Yanıcı maddeler ateş kaynaklarından uzakta, uygun dolapta</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Kimyasallar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741"/>
        <w:gridCol w:w="2226"/>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Maddesi</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UD</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Kimyasallar etiketli, orijinal veya uygun etiketli kaplarda</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Güvenlik bilgi formları kullanım noktasında erişilebilir</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Dökülme kiti ve göz duşu / acil duş mevcut ve çalışıyor</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Birbiriyle tepkimeye girebilecek maddeler ayrı depolanıyor</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Ergonomi ve Çalışma Ortamı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741"/>
        <w:gridCol w:w="2226"/>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Maddesi</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UD</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Elle taşıma yükleri için yardımcı ekipman sağlanmış</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yüksekliği ve oturma düzeni işe uygun</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Ekranlı araç çalışma yerleri uygun düzenlenmiş</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Gürültü, sıcaklık ve havalandırma şikâyeti / gözlemi yok</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8. Yüksekte Çalışma ve Özel Riskli İşler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741"/>
        <w:gridCol w:w="2226"/>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Maddesi</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UD</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Merdiven, iskele ve platformlar sağlam ve korkuluklu</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Yüksekte, kapalı alanda veya sıcak çalışmalarda çalışma izni düzenlenmiş</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Düşmeye karşı koruma (emniyet kemeri, ankraj) kullanılıyor</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Yüklenici çalışanları işe başlamadan bilgilendirilmiş</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9. Dokümantasyon ve Saha Bilgilendirmesi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741"/>
        <w:gridCol w:w="2226"/>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Maddesi</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UD</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Risk değerlendirmesi bölümdeki mevcut faaliyetleri kapsıyor</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Çalışanların İSG eğitim kayıtları güncel</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 önceki denetimin bulguları kapatılmış</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Çalışanlar soru sorulduğunda acil çıkışı ve toplanma alanını biliyor</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22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Özet</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224"/>
        <w:gridCol w:w="2224"/>
        <w:gridCol w:w="2224"/>
        <w:gridCol w:w="2966"/>
      </w:tblGrid>
      <w:tr>
        <w:trPr>
          <w:cantSplit/>
          <w:trHeight w:val="400" w:hRule="atLeast"/>
        </w:trPr>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Uygun (U)</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Uygun Değil (UD)</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Uygulanabilir Madde (U + UD)</w:t>
            </w:r>
          </w:p>
        </w:tc>
        <w:tc>
          <w:tcPr>
            <w:tcW w:type="dxa" w:w="296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Uyum Oranı = U ÷ (U + UD)</w:t>
            </w:r>
          </w:p>
        </w:tc>
      </w:tr>
      <w:tr>
        <w:trPr>
          <w:cantSplit/>
          <w:trHeight w:val="380" w:hRule="atLeast"/>
        </w:trPr>
        <w:tc>
          <w:tcPr>
            <w:tcW w:type="dxa" w:w="22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2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2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296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Bulgular ve Düzeltici Faaliyetler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5"/>
        <w:gridCol w:w="2141"/>
        <w:gridCol w:w="1606"/>
        <w:gridCol w:w="2141"/>
        <w:gridCol w:w="1070"/>
        <w:gridCol w:w="1070"/>
        <w:gridCol w:w="1075"/>
      </w:tblGrid>
      <w:tr>
        <w:trPr>
          <w:cantSplit/>
          <w:trHeight w:val="400" w:hRule="atLeast"/>
        </w:trPr>
        <w:tc>
          <w:tcPr>
            <w:tcW w:type="dxa" w:w="53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Bulgu (yer ve durum)</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Risk Düzeyi</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Önlem</w:t>
            </w:r>
          </w:p>
        </w:tc>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Termin</w:t>
            </w:r>
          </w:p>
        </w:tc>
        <w:tc>
          <w:tcPr>
            <w:tcW w:type="dxa" w:w="107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Kapanış</w:t>
            </w:r>
          </w:p>
        </w:tc>
      </w:tr>
      <w:tr>
        <w:trPr>
          <w:cantSplit/>
          <w:trHeight w:val="380" w:hRule="atLeast"/>
        </w:trPr>
        <w:tc>
          <w:tcPr>
            <w:tcW w:type="dxa" w:w="53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B kapısı önünde palet istifi]</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Yüksek ☐ Orta ☐ Düşük</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[Alan boşaltılacak; zemin işaretlenecek]</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07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 / paraf]</w:t>
            </w:r>
          </w:p>
        </w:tc>
      </w:tr>
      <w:tr>
        <w:trPr>
          <w:cantSplit/>
          <w:trHeight w:val="380" w:hRule="atLeast"/>
        </w:trPr>
        <w:tc>
          <w:tcPr>
            <w:tcW w:type="dxa" w:w="535"/>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1070"/>
            <w:shd w:fill="F5F8FB" w:color="auto" w:val="clear"/>
            <w:tcMar>
              <w:top w:type="dxa" w:w="60"/>
              <w:left w:type="dxa" w:w="110"/>
              <w:bottom w:type="dxa" w:w="60"/>
              <w:right w:type="dxa" w:w="110"/>
            </w:tcMar>
            <w:vAlign w:val="center"/>
          </w:tcPr>
          <w:p>
            <w:pPr>
              <w:spacing w:before="40" w:after="40"/>
            </w:pPr>
          </w:p>
        </w:tc>
        <w:tc>
          <w:tcPr>
            <w:tcW w:type="dxa" w:w="1070"/>
            <w:shd w:fill="F5F8FB" w:color="auto" w:val="clear"/>
            <w:tcMar>
              <w:top w:type="dxa" w:w="60"/>
              <w:left w:type="dxa" w:w="110"/>
              <w:bottom w:type="dxa" w:w="60"/>
              <w:right w:type="dxa" w:w="110"/>
            </w:tcMar>
            <w:vAlign w:val="center"/>
          </w:tcPr>
          <w:p>
            <w:pPr>
              <w:spacing w:before="40" w:after="40"/>
            </w:pPr>
          </w:p>
        </w:tc>
        <w:tc>
          <w:tcPr>
            <w:tcW w:type="dxa" w:w="107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070"/>
            <w:tcMar>
              <w:top w:type="dxa" w:w="60"/>
              <w:left w:type="dxa" w:w="110"/>
              <w:bottom w:type="dxa" w:w="60"/>
              <w:right w:type="dxa" w:w="110"/>
            </w:tcMar>
            <w:vAlign w:val="center"/>
          </w:tcPr>
          <w:p>
            <w:pPr>
              <w:spacing w:before="40" w:after="40"/>
            </w:pPr>
          </w:p>
        </w:tc>
        <w:tc>
          <w:tcPr>
            <w:tcW w:type="dxa" w:w="1070"/>
            <w:tcMar>
              <w:top w:type="dxa" w:w="60"/>
              <w:left w:type="dxa" w:w="110"/>
              <w:bottom w:type="dxa" w:w="60"/>
              <w:right w:type="dxa" w:w="110"/>
            </w:tcMar>
            <w:vAlign w:val="center"/>
          </w:tcPr>
          <w:p>
            <w:pPr>
              <w:spacing w:before="40" w:after="40"/>
            </w:pPr>
          </w:p>
        </w:tc>
        <w:tc>
          <w:tcPr>
            <w:tcW w:type="dxa" w:w="1075"/>
            <w:tcMar>
              <w:top w:type="dxa" w:w="60"/>
              <w:left w:type="dxa" w:w="110"/>
              <w:bottom w:type="dxa" w:w="60"/>
              <w:right w:type="dxa" w:w="110"/>
            </w:tcMar>
            <w:vAlign w:val="center"/>
          </w:tcPr>
          <w:p>
            <w:pPr>
              <w:spacing w:before="40" w:after="40"/>
            </w:pPr>
          </w:p>
        </w:tc>
      </w:tr>
      <w:tr>
        <w:trPr>
          <w:cantSplit/>
          <w:trHeight w:val="380" w:hRule="atLeast"/>
        </w:trPr>
        <w:tc>
          <w:tcPr>
            <w:tcW w:type="dxa" w:w="535"/>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1070"/>
            <w:shd w:fill="F5F8FB" w:color="auto" w:val="clear"/>
            <w:tcMar>
              <w:top w:type="dxa" w:w="60"/>
              <w:left w:type="dxa" w:w="110"/>
              <w:bottom w:type="dxa" w:w="60"/>
              <w:right w:type="dxa" w:w="110"/>
            </w:tcMar>
            <w:vAlign w:val="center"/>
          </w:tcPr>
          <w:p>
            <w:pPr>
              <w:spacing w:before="40" w:after="40"/>
            </w:pPr>
          </w:p>
        </w:tc>
        <w:tc>
          <w:tcPr>
            <w:tcW w:type="dxa" w:w="1070"/>
            <w:shd w:fill="F5F8FB" w:color="auto" w:val="clear"/>
            <w:tcMar>
              <w:top w:type="dxa" w:w="60"/>
              <w:left w:type="dxa" w:w="110"/>
              <w:bottom w:type="dxa" w:w="60"/>
              <w:right w:type="dxa" w:w="110"/>
            </w:tcMar>
            <w:vAlign w:val="center"/>
          </w:tcPr>
          <w:p>
            <w:pPr>
              <w:spacing w:before="40" w:after="40"/>
            </w:pPr>
          </w:p>
        </w:tc>
        <w:tc>
          <w:tcPr>
            <w:tcW w:type="dxa" w:w="107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070"/>
            <w:tcMar>
              <w:top w:type="dxa" w:w="60"/>
              <w:left w:type="dxa" w:w="110"/>
              <w:bottom w:type="dxa" w:w="60"/>
              <w:right w:type="dxa" w:w="110"/>
            </w:tcMar>
            <w:vAlign w:val="center"/>
          </w:tcPr>
          <w:p>
            <w:pPr>
              <w:spacing w:before="40" w:after="40"/>
            </w:pPr>
          </w:p>
        </w:tc>
        <w:tc>
          <w:tcPr>
            <w:tcW w:type="dxa" w:w="1070"/>
            <w:tcMar>
              <w:top w:type="dxa" w:w="60"/>
              <w:left w:type="dxa" w:w="110"/>
              <w:bottom w:type="dxa" w:w="60"/>
              <w:right w:type="dxa" w:w="110"/>
            </w:tcMar>
            <w:vAlign w:val="center"/>
          </w:tcPr>
          <w:p>
            <w:pPr>
              <w:spacing w:before="40" w:after="40"/>
            </w:pPr>
          </w:p>
        </w:tc>
        <w:tc>
          <w:tcPr>
            <w:tcW w:type="dxa" w:w="1075"/>
            <w:tcMar>
              <w:top w:type="dxa" w:w="60"/>
              <w:left w:type="dxa" w:w="110"/>
              <w:bottom w:type="dxa" w:w="60"/>
              <w:right w:type="dxa" w:w="110"/>
            </w:tcMar>
            <w:vAlign w:val="center"/>
          </w:tcPr>
          <w:p>
            <w:pPr>
              <w:spacing w:before="40" w:after="40"/>
            </w:pPr>
          </w:p>
        </w:tc>
      </w:tr>
      <w:tr>
        <w:trPr>
          <w:cantSplit/>
          <w:trHeight w:val="380" w:hRule="atLeast"/>
        </w:trPr>
        <w:tc>
          <w:tcPr>
            <w:tcW w:type="dxa" w:w="535"/>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1070"/>
            <w:shd w:fill="F5F8FB" w:color="auto" w:val="clear"/>
            <w:tcMar>
              <w:top w:type="dxa" w:w="60"/>
              <w:left w:type="dxa" w:w="110"/>
              <w:bottom w:type="dxa" w:w="60"/>
              <w:right w:type="dxa" w:w="110"/>
            </w:tcMar>
            <w:vAlign w:val="center"/>
          </w:tcPr>
          <w:p>
            <w:pPr>
              <w:spacing w:before="40" w:after="40"/>
            </w:pPr>
          </w:p>
        </w:tc>
        <w:tc>
          <w:tcPr>
            <w:tcW w:type="dxa" w:w="1070"/>
            <w:shd w:fill="F5F8FB" w:color="auto" w:val="clear"/>
            <w:tcMar>
              <w:top w:type="dxa" w:w="60"/>
              <w:left w:type="dxa" w:w="110"/>
              <w:bottom w:type="dxa" w:w="60"/>
              <w:right w:type="dxa" w:w="110"/>
            </w:tcMar>
            <w:vAlign w:val="center"/>
          </w:tcPr>
          <w:p>
            <w:pPr>
              <w:spacing w:before="40" w:after="40"/>
            </w:pPr>
          </w:p>
        </w:tc>
        <w:tc>
          <w:tcPr>
            <w:tcW w:type="dxa" w:w="107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070"/>
            <w:tcMar>
              <w:top w:type="dxa" w:w="60"/>
              <w:left w:type="dxa" w:w="110"/>
              <w:bottom w:type="dxa" w:w="60"/>
              <w:right w:type="dxa" w:w="110"/>
            </w:tcMar>
            <w:vAlign w:val="center"/>
          </w:tcPr>
          <w:p>
            <w:pPr>
              <w:spacing w:before="40" w:after="40"/>
            </w:pPr>
          </w:p>
        </w:tc>
        <w:tc>
          <w:tcPr>
            <w:tcW w:type="dxa" w:w="1070"/>
            <w:tcMar>
              <w:top w:type="dxa" w:w="60"/>
              <w:left w:type="dxa" w:w="110"/>
              <w:bottom w:type="dxa" w:w="60"/>
              <w:right w:type="dxa" w:w="110"/>
            </w:tcMar>
            <w:vAlign w:val="center"/>
          </w:tcPr>
          <w:p>
            <w:pPr>
              <w:spacing w:before="40" w:after="40"/>
            </w:pPr>
          </w:p>
        </w:tc>
        <w:tc>
          <w:tcPr>
            <w:tcW w:type="dxa" w:w="1075"/>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Denetçi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Bölüm Sorumlusu</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 Güvenliği Uzmanı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6331 sayılı Kanun md. 4/1-b uyarınca işveren, alınan İSG tedbirlerine uyulup uyulmadığını izler, denetler ve uygunsuzlukların giderilmesini sağlar. Denetim bulguları risk değerlendirmesinin güncellenmesinde girdi olarak kullanılmalıdır (md. 10). Ciddi ve yakın tehlike varsa çalışanların md. 13 kapsamındaki çalışmaktan kaçınma hakkı ve md. 12'deki tahliye düzenlemeleri saklıdır. Bu liste örnektir; işyerinizin risk değerlendirmesine göre madde ekleyip çıkarın.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[İSG-SD-01]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İSG Saha Denetim Kontrol Listesi</dc:title>
  <dc:creator>İK Partner</dc:creator>
  <dc:description>İSG Saha Denetim Kontrol Listesi — İK Partner (ikpartner.com) ücretsiz İK şablonu</dc:description>
  <cp:lastModifiedBy>Un-named</cp:lastModifiedBy>
  <cp:revision>1</cp:revision>
  <dcterms:created xsi:type="dcterms:W3CDTF">2026-10-13T21:31:39.503Z</dcterms:created>
  <dcterms:modified xsi:type="dcterms:W3CDTF">2026-10-13T21:31:39.503Z</dcterms:modified>
</cp:coreProperties>
</file>

<file path=docProps/custom.xml><?xml version="1.0" encoding="utf-8"?>
<Properties xmlns="http://schemas.openxmlformats.org/officeDocument/2006/custom-properties" xmlns:vt="http://schemas.openxmlformats.org/officeDocument/2006/docPropsVTypes"/>
</file>