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İşe İade Davası Cevap Dilekçesi (Davalı İşveren)</w:t>
      </w:r>
    </w:p>
    <w:p>
      <w:pPr>
        <w:pBdr>
          <w:bottom w:val="single" w:color="13B8A7" w:sz="12" w:space="8"/>
        </w:pBdr>
        <w:spacing w:after="220"/>
      </w:pPr>
      <w:r>
        <w:rPr>
          <w:rFonts w:ascii="Calibri" w:cs="Calibri" w:eastAsia="Calibri" w:hAnsi="Calibri"/>
          <w:color w:val="5A6B82"/>
          <w:sz w:val="21"/>
          <w:szCs w:val="21"/>
        </w:rPr>
        <w:t xml:space="preserve">Feshin geçersizliği ve işe iade talebiyle açılan davada davalı işverenin cevap dilekçesi: süre ve iş güvencesi şartlarına ilişkin itirazlar, geçerli nedenin türüne göre seçenekli savunmalar, deliller ve hazırlık kontrol listesi. Avukatınızla birlikte uyarlayın.</w:t>
      </w:r>
    </w:p>
    <w:p>
      <w:pPr>
        <w:spacing w:after="120" w:before="0" w:line="300"/>
        <w:jc w:val="center"/>
      </w:pPr>
      <w:r>
        <w:rPr>
          <w:rFonts w:ascii="Calibri" w:cs="Calibri" w:eastAsia="Calibri" w:hAnsi="Calibri"/>
          <w:b/>
          <w:bCs/>
          <w:color w:val="3A4A61"/>
          <w:sz w:val="21"/>
          <w:szCs w:val="21"/>
        </w:rPr>
        <w:t xml:space="preserve">[İL] [__]. İŞ MAHKEMESİ HÂKİMLİĞİ'NE</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Dosya Esas No</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[20__ / ____]</w:t>
            </w:r>
            <w:r>
              <w:rPr>
                <w:rFonts w:ascii="Calibri" w:cs="Calibri" w:eastAsia="Calibri" w:hAnsi="Calibri"/>
                <w:color w:val="3A4A61"/>
                <w:sz w:val="20"/>
                <w:szCs w:val="20"/>
              </w:rPr>
              <w:t xml:space="preserve"> Esas</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Davacı</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w:t>
            </w:r>
            <w:r>
              <w:rPr>
                <w:rFonts w:ascii="Calibri" w:cs="Calibri" w:eastAsia="Calibri" w:hAnsi="Calibri"/>
                <w:color w:val="3A4A61"/>
                <w:sz w:val="20"/>
                <w:szCs w:val="20"/>
              </w:rPr>
              <w:t xml:space="preserve"> (T.C. Kimlik No: </w:t>
            </w:r>
            <w:r>
              <w:rPr>
                <w:rFonts w:ascii="Calibri" w:cs="Calibri" w:eastAsia="Calibri" w:hAnsi="Calibri"/>
                <w:color w:val="1D5888"/>
                <w:sz w:val="20"/>
                <w:szCs w:val="20"/>
                <w:shd w:fill="EAF1F8" w:color="auto" w:val="clear"/>
              </w:rPr>
              <w:t xml:space="preserve">[__________]</w:t>
            </w:r>
            <w:r>
              <w:rPr>
                <w:rFonts w:ascii="Calibri" w:cs="Calibri" w:eastAsia="Calibri" w:hAnsi="Calibri"/>
                <w:color w:val="3A4A61"/>
                <w:sz w:val="20"/>
                <w:szCs w:val="20"/>
              </w:rPr>
              <w:t xml:space="preserve">)</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Davacı Vekili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[Av. Ad Soyad]</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Davalı</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[Şirket Unvanı]</w:t>
            </w:r>
            <w:r>
              <w:rPr>
                <w:rFonts w:ascii="Calibri" w:cs="Calibri" w:eastAsia="Calibri" w:hAnsi="Calibri"/>
                <w:color w:val="3A4A61"/>
                <w:sz w:val="20"/>
                <w:szCs w:val="20"/>
              </w:rPr>
              <w:t xml:space="preserve"> (Vergi No: </w:t>
            </w:r>
            <w:r>
              <w:rPr>
                <w:rFonts w:ascii="Calibri" w:cs="Calibri" w:eastAsia="Calibri" w:hAnsi="Calibri"/>
                <w:color w:val="1D5888"/>
                <w:sz w:val="20"/>
                <w:szCs w:val="20"/>
                <w:shd w:fill="EAF1F8" w:color="auto" w:val="clear"/>
              </w:rPr>
              <w:t xml:space="preserve">[__________]</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[Adres]</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Davalı Vekili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[Av. Ad Soyad]</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[Adres / UYAP]</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Dava Dilekçesinin Tebliğ Tarihi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Feshin geçersizliğinin tespiti ve işe iade talepli davaya karşı cevaplarımızın sunulmasıdır.</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A. Usule ve Dava Şartlarına İlişkin İtirazlarımız</w:t>
      </w:r>
    </w:p>
    <w:p>
      <w:pPr>
        <w:spacing w:after="120" w:before="0" w:line="300"/>
        <w:jc w:val="both"/>
      </w:pPr>
      <w:r>
        <w:rPr>
          <w:rFonts w:ascii="Calibri" w:cs="Calibri" w:eastAsia="Calibri" w:hAnsi="Calibri"/>
          <w:color w:val="3A4A61"/>
          <w:sz w:val="21"/>
          <w:szCs w:val="21"/>
        </w:rPr>
        <w:t xml:space="preserve">Dosyanıza uymayan paragrafları silin.</w:t>
      </w:r>
    </w:p>
    <w:p>
      <w:pPr>
        <w:spacing w:after="120" w:before="0" w:line="300"/>
        <w:jc w:val="both"/>
      </w:pPr>
      <w:r>
        <w:rPr>
          <w:rFonts w:ascii="Calibri" w:cs="Calibri" w:eastAsia="Calibri" w:hAnsi="Calibri"/>
          <w:b/>
          <w:bCs/>
          <w:color w:val="3A4A61"/>
          <w:sz w:val="21"/>
          <w:szCs w:val="21"/>
        </w:rPr>
        <w:t xml:space="preserve">1. Arabuluculuk ve hak düşürücü süre:</w:t>
      </w:r>
      <w:r>
        <w:rPr>
          <w:rFonts w:ascii="Calibri" w:cs="Calibri" w:eastAsia="Calibri" w:hAnsi="Calibri"/>
          <w:color w:val="3A4A61"/>
          <w:sz w:val="21"/>
          <w:szCs w:val="21"/>
        </w:rPr>
        <w:t xml:space="preserve"> Fesih bildirimi davacıya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tebliğ edilmiştir. 4857 sayılı İş Kanunu'nun 20. maddesi uyarınca işçinin fesih bildiriminin tebliğinden itibaren bir ay içinde arabulucuya başvurması, anlaşmazlık halinde son tutanağın düzenlendiği tarihten itibaren iki hafta içinde dava açması gerekir. Davacı arabulucuya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başvurmuş / son tutanak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düzenlenmiş, dava ise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açılmıştır. Süreler geçirildiğinden davanın reddi gerekir.</w:t>
      </w:r>
    </w:p>
    <w:p>
      <w:pPr>
        <w:spacing w:after="120" w:before="0" w:line="300"/>
        <w:jc w:val="both"/>
      </w:pPr>
      <w:r>
        <w:rPr>
          <w:rFonts w:ascii="Calibri" w:cs="Calibri" w:eastAsia="Calibri" w:hAnsi="Calibri"/>
          <w:b/>
          <w:bCs/>
          <w:color w:val="3A4A61"/>
          <w:sz w:val="21"/>
          <w:szCs w:val="21"/>
        </w:rPr>
        <w:t xml:space="preserve">2. Yetki (ilk itiraz):</w:t>
      </w:r>
      <w:r>
        <w:rPr>
          <w:rFonts w:ascii="Calibri" w:cs="Calibri" w:eastAsia="Calibri" w:hAnsi="Calibri"/>
          <w:color w:val="3A4A61"/>
          <w:sz w:val="21"/>
          <w:szCs w:val="21"/>
        </w:rPr>
        <w:t xml:space="preserve"> 7036 sayılı Kanun'un 6. maddesi uyarınca yetkili mahkeme, davalının yerleşim yeri veya işin yapıldığı yer mahkemesidir. Davacının çalıştığı işyeri </w:t>
      </w:r>
      <w:r>
        <w:rPr>
          <w:rFonts w:ascii="Calibri" w:cs="Calibri" w:eastAsia="Calibri" w:hAnsi="Calibri"/>
          <w:color w:val="1D5888"/>
          <w:sz w:val="21"/>
          <w:szCs w:val="21"/>
          <w:shd w:fill="EAF1F8" w:color="auto" w:val="clear"/>
        </w:rPr>
        <w:t xml:space="preserve">[İl / İlçe]</w:t>
      </w:r>
      <w:r>
        <w:rPr>
          <w:rFonts w:ascii="Calibri" w:cs="Calibri" w:eastAsia="Calibri" w:hAnsi="Calibri"/>
          <w:color w:val="3A4A61"/>
          <w:sz w:val="21"/>
          <w:szCs w:val="21"/>
        </w:rPr>
        <w:t xml:space="preserve">'de olduğundan dosyanın yetkili </w:t>
      </w:r>
      <w:r>
        <w:rPr>
          <w:rFonts w:ascii="Calibri" w:cs="Calibri" w:eastAsia="Calibri" w:hAnsi="Calibri"/>
          <w:b/>
          <w:bCs/>
          <w:color w:val="3A4A61"/>
          <w:sz w:val="21"/>
          <w:szCs w:val="21"/>
        </w:rPr>
        <w:t xml:space="preserve">[İl] İş Mahkemesi</w:t>
      </w:r>
      <w:r>
        <w:rPr>
          <w:rFonts w:ascii="Calibri" w:cs="Calibri" w:eastAsia="Calibri" w:hAnsi="Calibri"/>
          <w:color w:val="3A4A61"/>
          <w:sz w:val="21"/>
          <w:szCs w:val="21"/>
        </w:rPr>
        <w:t xml:space="preserve">'ne gönderilmesini talep ederiz.</w:t>
      </w:r>
    </w:p>
    <w:p>
      <w:pPr>
        <w:keepNext/>
        <w:pBdr>
          <w:bottom w:val="single" w:color="DCE4EE" w:sz="6" w:space="4"/>
        </w:pBdr>
        <w:spacing w:before="280" w:after="120"/>
      </w:pPr>
      <w:r>
        <w:rPr>
          <w:rFonts w:ascii="Calibri" w:cs="Calibri" w:eastAsia="Calibri" w:hAnsi="Calibri"/>
          <w:b/>
          <w:bCs/>
          <w:color w:val="0E2849"/>
          <w:sz w:val="25"/>
          <w:szCs w:val="25"/>
        </w:rPr>
        <w:t xml:space="preserve">B. İş Güvencesi Şartlarına İlişkin İtirazlarımız</w:t>
      </w:r>
    </w:p>
    <w:p>
      <w:pPr>
        <w:spacing w:after="120" w:before="0" w:line="300"/>
        <w:jc w:val="both"/>
      </w:pPr>
      <w:r>
        <w:rPr>
          <w:rFonts w:ascii="Calibri" w:cs="Calibri" w:eastAsia="Calibri" w:hAnsi="Calibri"/>
          <w:color w:val="3A4A61"/>
          <w:sz w:val="21"/>
          <w:szCs w:val="21"/>
        </w:rPr>
        <w:t xml:space="preserve">4857 sayılı Kanun'un 18. maddesi uyarınca iş güvencesi hükümlerinden yararlanmak için; işyerinde otuz veya daha fazla işçi çalışması, işçinin en az altı aylık kıdeminin bulunması, iş sözleşmesinin belirsiz süreli olması ve işçinin işletmenin / işyerinin bütününü sevk ve idare eden işveren vekili olmaması gerekir. Somut olayda:</w:t>
      </w:r>
    </w:p>
    <w:p>
      <w:pPr>
        <w:pStyle w:val="ListParagraph"/>
        <w:numPr>
          <w:ilvl w:val="0"/>
          <w:numId w:val="2"/>
        </w:numPr>
        <w:spacing w:after="80" w:line="290"/>
      </w:pPr>
      <w:r>
        <w:rPr>
          <w:rFonts w:ascii="Calibri" w:cs="Calibri" w:eastAsia="Calibri" w:hAnsi="Calibri"/>
          <w:b/>
          <w:bCs/>
          <w:color w:val="3A4A61"/>
          <w:sz w:val="21"/>
          <w:szCs w:val="21"/>
        </w:rPr>
        <w:t xml:space="preserve">İşçi sayısı:</w:t>
      </w:r>
      <w:r>
        <w:rPr>
          <w:rFonts w:ascii="Calibri" w:cs="Calibri" w:eastAsia="Calibri" w:hAnsi="Calibri"/>
          <w:color w:val="3A4A61"/>
          <w:sz w:val="21"/>
          <w:szCs w:val="21"/>
        </w:rPr>
        <w:t xml:space="preserve"> Fesih tarihinde müvekkil şirketin aynı işkolundaki işyerlerinde toplam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işçi çalışmaktadır; SGK aylık prim ve hizmet belgeleri ekte sunulmuştur. Otuz işçi şartı gerçekleşmemiştir.</w:t>
      </w:r>
    </w:p>
    <w:p>
      <w:pPr>
        <w:pStyle w:val="ListParagraph"/>
        <w:numPr>
          <w:ilvl w:val="0"/>
          <w:numId w:val="2"/>
        </w:numPr>
        <w:spacing w:after="80" w:line="290"/>
      </w:pPr>
      <w:r>
        <w:rPr>
          <w:rFonts w:ascii="Calibri" w:cs="Calibri" w:eastAsia="Calibri" w:hAnsi="Calibri"/>
          <w:b/>
          <w:bCs/>
          <w:color w:val="3A4A61"/>
          <w:sz w:val="21"/>
          <w:szCs w:val="21"/>
        </w:rPr>
        <w:t xml:space="preserve">Kıdem:</w:t>
      </w:r>
      <w:r>
        <w:rPr>
          <w:rFonts w:ascii="Calibri" w:cs="Calibri" w:eastAsia="Calibri" w:hAnsi="Calibri"/>
          <w:color w:val="3A4A61"/>
          <w:sz w:val="21"/>
          <w:szCs w:val="21"/>
        </w:rPr>
        <w:t xml:space="preserve"> Davacının </w:t>
      </w:r>
      <w:r>
        <w:rPr>
          <w:rFonts w:ascii="Calibri" w:cs="Calibri" w:eastAsia="Calibri" w:hAnsi="Calibri"/>
          <w:color w:val="1D5888"/>
          <w:sz w:val="21"/>
          <w:szCs w:val="21"/>
          <w:shd w:fill="EAF1F8" w:color="auto" w:val="clear"/>
        </w:rPr>
        <w:t xml:space="preserve">[İşe Giriş Tarihi]</w:t>
      </w:r>
      <w:r>
        <w:rPr>
          <w:rFonts w:ascii="Calibri" w:cs="Calibri" w:eastAsia="Calibri" w:hAnsi="Calibri"/>
          <w:color w:val="3A4A61"/>
          <w:sz w:val="21"/>
          <w:szCs w:val="21"/>
        </w:rPr>
        <w:t xml:space="preserve"> – </w:t>
      </w:r>
      <w:r>
        <w:rPr>
          <w:rFonts w:ascii="Calibri" w:cs="Calibri" w:eastAsia="Calibri" w:hAnsi="Calibri"/>
          <w:color w:val="1D5888"/>
          <w:sz w:val="21"/>
          <w:szCs w:val="21"/>
          <w:shd w:fill="EAF1F8" w:color="auto" w:val="clear"/>
        </w:rPr>
        <w:t xml:space="preserve">[Fesih Tarihi]</w:t>
      </w:r>
      <w:r>
        <w:rPr>
          <w:rFonts w:ascii="Calibri" w:cs="Calibri" w:eastAsia="Calibri" w:hAnsi="Calibri"/>
          <w:color w:val="3A4A61"/>
          <w:sz w:val="21"/>
          <w:szCs w:val="21"/>
        </w:rPr>
        <w:t xml:space="preserve"> arasındaki kıdemi altı ayı doldurmamaktadır.</w:t>
      </w:r>
    </w:p>
    <w:p>
      <w:pPr>
        <w:pStyle w:val="ListParagraph"/>
        <w:numPr>
          <w:ilvl w:val="0"/>
          <w:numId w:val="2"/>
        </w:numPr>
        <w:spacing w:after="80" w:line="290"/>
      </w:pPr>
      <w:r>
        <w:rPr>
          <w:rFonts w:ascii="Calibri" w:cs="Calibri" w:eastAsia="Calibri" w:hAnsi="Calibri"/>
          <w:b/>
          <w:bCs/>
          <w:color w:val="3A4A61"/>
          <w:sz w:val="21"/>
          <w:szCs w:val="21"/>
        </w:rPr>
        <w:t xml:space="preserve">Belirli süreli sözleşme:</w:t>
      </w:r>
      <w:r>
        <w:rPr>
          <w:rFonts w:ascii="Calibri" w:cs="Calibri" w:eastAsia="Calibri" w:hAnsi="Calibri"/>
          <w:color w:val="3A4A61"/>
          <w:sz w:val="21"/>
          <w:szCs w:val="21"/>
        </w:rPr>
        <w:t xml:space="preserve"> Davacı, </w:t>
      </w:r>
      <w:r>
        <w:rPr>
          <w:rFonts w:ascii="Calibri" w:cs="Calibri" w:eastAsia="Calibri" w:hAnsi="Calibri"/>
          <w:color w:val="1D5888"/>
          <w:sz w:val="21"/>
          <w:szCs w:val="21"/>
          <w:shd w:fill="EAF1F8" w:color="auto" w:val="clear"/>
        </w:rPr>
        <w:t xml:space="preserve">[objektif neden: proje / sezon / vekâlet]</w:t>
      </w:r>
      <w:r>
        <w:rPr>
          <w:rFonts w:ascii="Calibri" w:cs="Calibri" w:eastAsia="Calibri" w:hAnsi="Calibri"/>
          <w:color w:val="3A4A61"/>
          <w:sz w:val="21"/>
          <w:szCs w:val="21"/>
        </w:rPr>
        <w:t xml:space="preserve"> nedeniyle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tarihine kadar belirli süreli iş sözleşmesiyle çalışmış olup sözleşme sürenin bitimiyle kendiliğinden sona ermiştir; ortada bir fesih yoktur.</w:t>
      </w:r>
    </w:p>
    <w:p>
      <w:pPr>
        <w:pStyle w:val="ListParagraph"/>
        <w:numPr>
          <w:ilvl w:val="0"/>
          <w:numId w:val="2"/>
        </w:numPr>
        <w:spacing w:after="80" w:line="290"/>
      </w:pPr>
      <w:r>
        <w:rPr>
          <w:rFonts w:ascii="Calibri" w:cs="Calibri" w:eastAsia="Calibri" w:hAnsi="Calibri"/>
          <w:b/>
          <w:bCs/>
          <w:color w:val="3A4A61"/>
          <w:sz w:val="21"/>
          <w:szCs w:val="21"/>
        </w:rPr>
        <w:t xml:space="preserve">İşveren vekili:</w:t>
      </w:r>
      <w:r>
        <w:rPr>
          <w:rFonts w:ascii="Calibri" w:cs="Calibri" w:eastAsia="Calibri" w:hAnsi="Calibri"/>
          <w:color w:val="3A4A61"/>
          <w:sz w:val="21"/>
          <w:szCs w:val="21"/>
        </w:rPr>
        <w:t xml:space="preserve"> Davacı, </w:t>
      </w:r>
      <w:r>
        <w:rPr>
          <w:rFonts w:ascii="Calibri" w:cs="Calibri" w:eastAsia="Calibri" w:hAnsi="Calibri"/>
          <w:color w:val="1D5888"/>
          <w:sz w:val="21"/>
          <w:szCs w:val="21"/>
          <w:shd w:fill="EAF1F8" w:color="auto" w:val="clear"/>
        </w:rPr>
        <w:t xml:space="preserve">[Unvan]</w:t>
      </w:r>
      <w:r>
        <w:rPr>
          <w:rFonts w:ascii="Calibri" w:cs="Calibri" w:eastAsia="Calibri" w:hAnsi="Calibri"/>
          <w:color w:val="3A4A61"/>
          <w:sz w:val="21"/>
          <w:szCs w:val="21"/>
        </w:rPr>
        <w:t xml:space="preserve"> olarak işyerinin bütününü sevk ve idare etmekte ve işçiyi işe alma ve işten çıkarma yetkisine sahip bulunmaktadır; iş güvencesi hükümleri davacıya uygulanmaz.</w:t>
      </w:r>
    </w:p>
    <w:p>
      <w:pPr>
        <w:pStyle w:val="ListParagraph"/>
        <w:numPr>
          <w:ilvl w:val="0"/>
          <w:numId w:val="2"/>
        </w:numPr>
        <w:spacing w:after="80" w:line="290"/>
      </w:pPr>
      <w:r>
        <w:rPr>
          <w:rFonts w:ascii="Calibri" w:cs="Calibri" w:eastAsia="Calibri" w:hAnsi="Calibri"/>
          <w:b/>
          <w:bCs/>
          <w:color w:val="3A4A61"/>
          <w:sz w:val="21"/>
          <w:szCs w:val="21"/>
        </w:rPr>
        <w:t xml:space="preserve">Fesih yoktur:</w:t>
      </w:r>
      <w:r>
        <w:rPr>
          <w:rFonts w:ascii="Calibri" w:cs="Calibri" w:eastAsia="Calibri" w:hAnsi="Calibri"/>
          <w:color w:val="3A4A61"/>
          <w:sz w:val="21"/>
          <w:szCs w:val="21"/>
        </w:rPr>
        <w:t xml:space="preserve"> İş sözleşmesi davacının </w:t>
      </w:r>
      <w:r>
        <w:rPr>
          <w:rFonts w:ascii="Calibri" w:cs="Calibri" w:eastAsia="Calibri" w:hAnsi="Calibri"/>
          <w:color w:val="1D5888"/>
          <w:sz w:val="21"/>
          <w:szCs w:val="21"/>
          <w:shd w:fill="EAF1F8" w:color="auto" w:val="clear"/>
        </w:rPr>
        <w:t xml:space="preserve">[istifası / ikale sözleşmesi / emeklilik talebi]</w:t>
      </w:r>
      <w:r>
        <w:rPr>
          <w:rFonts w:ascii="Calibri" w:cs="Calibri" w:eastAsia="Calibri" w:hAnsi="Calibri"/>
          <w:color w:val="3A4A61"/>
          <w:sz w:val="21"/>
          <w:szCs w:val="21"/>
        </w:rPr>
        <w:t xml:space="preserve"> ile sona ermiştir; işverence yapılmış bir fesih bulunmadığından feshin geçersizliğinden söz edilemez.</w:t>
      </w:r>
    </w:p>
    <w:p>
      <w:pPr>
        <w:keepNext/>
        <w:pBdr>
          <w:bottom w:val="single" w:color="DCE4EE" w:sz="6" w:space="4"/>
        </w:pBdr>
        <w:spacing w:before="280" w:after="120"/>
      </w:pPr>
      <w:r>
        <w:rPr>
          <w:rFonts w:ascii="Calibri" w:cs="Calibri" w:eastAsia="Calibri" w:hAnsi="Calibri"/>
          <w:b/>
          <w:bCs/>
          <w:color w:val="0E2849"/>
          <w:sz w:val="25"/>
          <w:szCs w:val="25"/>
        </w:rPr>
        <w:t xml:space="preserve">C. Esasa İlişkin Cevaplarımız – Fesih Geçerli Nedene Dayanmaktadır</w:t>
      </w:r>
    </w:p>
    <w:p>
      <w:pPr>
        <w:spacing w:after="120" w:before="0" w:line="300"/>
        <w:jc w:val="both"/>
      </w:pPr>
      <w:r>
        <w:rPr>
          <w:rFonts w:ascii="Calibri" w:cs="Calibri" w:eastAsia="Calibri" w:hAnsi="Calibri"/>
          <w:color w:val="3A4A61"/>
          <w:sz w:val="21"/>
          <w:szCs w:val="21"/>
        </w:rPr>
        <w:t xml:space="preserve">Davacının iş sözleşmesi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yazılı fesih bildirimiyle, fesih sebebi açık ve kesin biçimde belirtilerek ve bildirim süresi </w:t>
      </w:r>
      <w:r>
        <w:rPr>
          <w:rFonts w:ascii="Calibri" w:cs="Calibri" w:eastAsia="Calibri" w:hAnsi="Calibri"/>
          <w:color w:val="1D5888"/>
          <w:sz w:val="21"/>
          <w:szCs w:val="21"/>
          <w:shd w:fill="EAF1F8" w:color="auto" w:val="clear"/>
        </w:rPr>
        <w:t xml:space="preserve">[verilerek / ücreti peşin ödenerek]</w:t>
      </w:r>
      <w:r>
        <w:rPr>
          <w:rFonts w:ascii="Calibri" w:cs="Calibri" w:eastAsia="Calibri" w:hAnsi="Calibri"/>
          <w:color w:val="3A4A61"/>
          <w:sz w:val="21"/>
          <w:szCs w:val="21"/>
        </w:rPr>
        <w:t xml:space="preserve"> feshedilmiştir (4857 md. 17, 19). Feshin geçerli nedene dayandığı aşağıda açıklanmış ve belgelenmiştir. Fesih nedeninin türüne uygun paragrafı kullanın:</w:t>
      </w:r>
    </w:p>
    <w:p>
      <w:pPr>
        <w:spacing w:after="120" w:before="0" w:line="300"/>
        <w:jc w:val="both"/>
      </w:pPr>
      <w:r>
        <w:rPr>
          <w:rFonts w:ascii="Calibri" w:cs="Calibri" w:eastAsia="Calibri" w:hAnsi="Calibri"/>
          <w:b/>
          <w:bCs/>
          <w:color w:val="3A4A61"/>
          <w:sz w:val="21"/>
          <w:szCs w:val="21"/>
        </w:rPr>
        <w:t xml:space="preserve">Seçenek 1 – Davranış nedeniyle fesih:</w:t>
      </w:r>
      <w:r>
        <w:rPr>
          <w:rFonts w:ascii="Calibri" w:cs="Calibri" w:eastAsia="Calibri" w:hAnsi="Calibri"/>
          <w:color w:val="3A4A61"/>
          <w:sz w:val="21"/>
          <w:szCs w:val="21"/>
        </w:rPr>
        <w:t xml:space="preserve"> Davacı,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ve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tarihlerinde </w:t>
      </w:r>
      <w:r>
        <w:rPr>
          <w:rFonts w:ascii="Calibri" w:cs="Calibri" w:eastAsia="Calibri" w:hAnsi="Calibri"/>
          <w:color w:val="1D5888"/>
          <w:sz w:val="21"/>
          <w:szCs w:val="21"/>
          <w:shd w:fill="EAF1F8" w:color="auto" w:val="clear"/>
        </w:rPr>
        <w:t xml:space="preserve">[somut davranış: işe geç gelme, talimata aykırılık, iş arkadaşlarıyla çatışma vb.]</w:t>
      </w:r>
      <w:r>
        <w:rPr>
          <w:rFonts w:ascii="Calibri" w:cs="Calibri" w:eastAsia="Calibri" w:hAnsi="Calibri"/>
          <w:color w:val="3A4A61"/>
          <w:sz w:val="21"/>
          <w:szCs w:val="21"/>
        </w:rPr>
        <w:t xml:space="preserve"> davranışlarında bulunmuş; bu davranışlar </w:t>
      </w:r>
      <w:r>
        <w:rPr>
          <w:rFonts w:ascii="Calibri" w:cs="Calibri" w:eastAsia="Calibri" w:hAnsi="Calibri"/>
          <w:color w:val="1D5888"/>
          <w:sz w:val="21"/>
          <w:szCs w:val="21"/>
          <w:shd w:fill="EAF1F8" w:color="auto" w:val="clear"/>
        </w:rPr>
        <w:t xml:space="preserve">[tutanaklar, tanık beyanları, sistem kayıtları]</w:t>
      </w:r>
      <w:r>
        <w:rPr>
          <w:rFonts w:ascii="Calibri" w:cs="Calibri" w:eastAsia="Calibri" w:hAnsi="Calibri"/>
          <w:color w:val="3A4A61"/>
          <w:sz w:val="21"/>
          <w:szCs w:val="21"/>
        </w:rPr>
        <w:t xml:space="preserve"> ile tespit edilmiştir. Davacıya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w:t>
      </w:r>
      <w:r>
        <w:rPr>
          <w:rFonts w:ascii="Calibri" w:cs="Calibri" w:eastAsia="Calibri" w:hAnsi="Calibri"/>
          <w:color w:val="1D5888"/>
          <w:sz w:val="21"/>
          <w:szCs w:val="21"/>
          <w:shd w:fill="EAF1F8" w:color="auto" w:val="clear"/>
        </w:rPr>
        <w:t xml:space="preserve">[uyarı / ihtar]</w:t>
      </w:r>
      <w:r>
        <w:rPr>
          <w:rFonts w:ascii="Calibri" w:cs="Calibri" w:eastAsia="Calibri" w:hAnsi="Calibri"/>
          <w:color w:val="3A4A61"/>
          <w:sz w:val="21"/>
          <w:szCs w:val="21"/>
        </w:rPr>
        <w:t xml:space="preserve"> verilmiş, buna rağmen davranış tekrarlanmıştır. Fesihten önce davacının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yazılı savunması alınmıştır (md. 19). Davranışlar işyerinde iş ilişkisinin sürdürülmesini işveren açısından beklenemez hale getirmiştir.</w:t>
      </w:r>
    </w:p>
    <w:p>
      <w:pPr>
        <w:spacing w:after="120" w:before="0" w:line="300"/>
        <w:jc w:val="both"/>
      </w:pPr>
      <w:r>
        <w:rPr>
          <w:rFonts w:ascii="Calibri" w:cs="Calibri" w:eastAsia="Calibri" w:hAnsi="Calibri"/>
          <w:b/>
          <w:bCs/>
          <w:color w:val="3A4A61"/>
          <w:sz w:val="21"/>
          <w:szCs w:val="21"/>
        </w:rPr>
        <w:t xml:space="preserve">Seçenek 2 – Yeterlilik / performans nedeniyle fesih:</w:t>
      </w:r>
      <w:r>
        <w:rPr>
          <w:rFonts w:ascii="Calibri" w:cs="Calibri" w:eastAsia="Calibri" w:hAnsi="Calibri"/>
          <w:color w:val="3A4A61"/>
          <w:sz w:val="21"/>
          <w:szCs w:val="21"/>
        </w:rPr>
        <w:t xml:space="preserve"> Davacının performansı, önceden bildirilen ve tüm benzer pozisyonlara eşit uygulanan </w:t>
      </w:r>
      <w:r>
        <w:rPr>
          <w:rFonts w:ascii="Calibri" w:cs="Calibri" w:eastAsia="Calibri" w:hAnsi="Calibri"/>
          <w:color w:val="1D5888"/>
          <w:sz w:val="21"/>
          <w:szCs w:val="21"/>
          <w:shd w:fill="EAF1F8" w:color="auto" w:val="clear"/>
        </w:rPr>
        <w:t xml:space="preserve">[hedefler / kriterler]</w:t>
      </w:r>
      <w:r>
        <w:rPr>
          <w:rFonts w:ascii="Calibri" w:cs="Calibri" w:eastAsia="Calibri" w:hAnsi="Calibri"/>
          <w:color w:val="3A4A61"/>
          <w:sz w:val="21"/>
          <w:szCs w:val="21"/>
        </w:rPr>
        <w:t xml:space="preserve"> üzerinden </w:t>
      </w:r>
      <w:r>
        <w:rPr>
          <w:rFonts w:ascii="Calibri" w:cs="Calibri" w:eastAsia="Calibri" w:hAnsi="Calibri"/>
          <w:color w:val="1D5888"/>
          <w:sz w:val="21"/>
          <w:szCs w:val="21"/>
          <w:shd w:fill="EAF1F8" w:color="auto" w:val="clear"/>
        </w:rPr>
        <w:t xml:space="preserve">[dönem]</w:t>
      </w:r>
      <w:r>
        <w:rPr>
          <w:rFonts w:ascii="Calibri" w:cs="Calibri" w:eastAsia="Calibri" w:hAnsi="Calibri"/>
          <w:color w:val="3A4A61"/>
          <w:sz w:val="21"/>
          <w:szCs w:val="21"/>
        </w:rPr>
        <w:t xml:space="preserve"> boyunca ölçülmüş; davacı </w:t>
      </w:r>
      <w:r>
        <w:rPr>
          <w:rFonts w:ascii="Calibri" w:cs="Calibri" w:eastAsia="Calibri" w:hAnsi="Calibri"/>
          <w:color w:val="1D5888"/>
          <w:sz w:val="21"/>
          <w:szCs w:val="21"/>
          <w:shd w:fill="EAF1F8" w:color="auto" w:val="clear"/>
        </w:rPr>
        <w:t xml:space="preserve">[sonuç]</w:t>
      </w:r>
      <w:r>
        <w:rPr>
          <w:rFonts w:ascii="Calibri" w:cs="Calibri" w:eastAsia="Calibri" w:hAnsi="Calibri"/>
          <w:color w:val="3A4A61"/>
          <w:sz w:val="21"/>
          <w:szCs w:val="21"/>
        </w:rPr>
        <w:t xml:space="preserve"> ile benzer çalışanların ortalamasının belirgin biçimde altında kalmıştır. Davacıya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gelişim planı verilmiş, </w:t>
      </w:r>
      <w:r>
        <w:rPr>
          <w:rFonts w:ascii="Calibri" w:cs="Calibri" w:eastAsia="Calibri" w:hAnsi="Calibri"/>
          <w:color w:val="1D5888"/>
          <w:sz w:val="21"/>
          <w:szCs w:val="21"/>
          <w:shd w:fill="EAF1F8" w:color="auto" w:val="clear"/>
        </w:rPr>
        <w:t xml:space="preserve">[eğitim / mentorluk]</w:t>
      </w:r>
      <w:r>
        <w:rPr>
          <w:rFonts w:ascii="Calibri" w:cs="Calibri" w:eastAsia="Calibri" w:hAnsi="Calibri"/>
          <w:color w:val="3A4A61"/>
          <w:sz w:val="21"/>
          <w:szCs w:val="21"/>
        </w:rPr>
        <w:t xml:space="preserve"> desteği sağlanmış, ancak iyileşme olmamıştır. Fesihten önce savunması alınmıştır.</w:t>
      </w:r>
    </w:p>
    <w:p>
      <w:pPr>
        <w:spacing w:after="120" w:before="0" w:line="300"/>
        <w:jc w:val="both"/>
      </w:pPr>
      <w:r>
        <w:rPr>
          <w:rFonts w:ascii="Calibri" w:cs="Calibri" w:eastAsia="Calibri" w:hAnsi="Calibri"/>
          <w:b/>
          <w:bCs/>
          <w:color w:val="3A4A61"/>
          <w:sz w:val="21"/>
          <w:szCs w:val="21"/>
        </w:rPr>
        <w:t xml:space="preserve">Seçenek 3 – İşletme gerekleri nedeniyle fesih:</w:t>
      </w:r>
      <w:r>
        <w:rPr>
          <w:rFonts w:ascii="Calibri" w:cs="Calibri" w:eastAsia="Calibri" w:hAnsi="Calibri"/>
          <w:color w:val="3A4A61"/>
          <w:sz w:val="21"/>
          <w:szCs w:val="21"/>
        </w:rPr>
        <w:t xml:space="preserve"> Müvekkil şirket,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yönetim kurulu kararıyla </w:t>
      </w:r>
      <w:r>
        <w:rPr>
          <w:rFonts w:ascii="Calibri" w:cs="Calibri" w:eastAsia="Calibri" w:hAnsi="Calibri"/>
          <w:color w:val="1D5888"/>
          <w:sz w:val="21"/>
          <w:szCs w:val="21"/>
          <w:shd w:fill="EAF1F8" w:color="auto" w:val="clear"/>
        </w:rPr>
        <w:t xml:space="preserve">[satışlardaki düşüş / bölümün kapatılması / otomasyon / yeniden yapılanma]</w:t>
      </w:r>
      <w:r>
        <w:rPr>
          <w:rFonts w:ascii="Calibri" w:cs="Calibri" w:eastAsia="Calibri" w:hAnsi="Calibri"/>
          <w:color w:val="3A4A61"/>
          <w:sz w:val="21"/>
          <w:szCs w:val="21"/>
        </w:rPr>
        <w:t xml:space="preserve"> nedeniyle </w:t>
      </w:r>
      <w:r>
        <w:rPr>
          <w:rFonts w:ascii="Calibri" w:cs="Calibri" w:eastAsia="Calibri" w:hAnsi="Calibri"/>
          <w:color w:val="1D5888"/>
          <w:sz w:val="21"/>
          <w:szCs w:val="21"/>
          <w:shd w:fill="EAF1F8" w:color="auto" w:val="clear"/>
        </w:rPr>
        <w:t xml:space="preserve">[birim / pozisyon]</w:t>
      </w:r>
      <w:r>
        <w:rPr>
          <w:rFonts w:ascii="Calibri" w:cs="Calibri" w:eastAsia="Calibri" w:hAnsi="Calibri"/>
          <w:color w:val="3A4A61"/>
          <w:sz w:val="21"/>
          <w:szCs w:val="21"/>
        </w:rPr>
        <w:t xml:space="preserve"> kadrosunu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kişiden </w:t>
      </w:r>
      <w:r>
        <w:rPr>
          <w:rFonts w:ascii="Calibri" w:cs="Calibri" w:eastAsia="Calibri" w:hAnsi="Calibri"/>
          <w:color w:val="1D5888"/>
          <w:sz w:val="21"/>
          <w:szCs w:val="21"/>
          <w:shd w:fill="EAF1F8" w:color="auto" w:val="clear"/>
        </w:rPr>
        <w:t xml:space="preserve">[__]</w:t>
      </w:r>
      <w:r>
        <w:rPr>
          <w:rFonts w:ascii="Calibri" w:cs="Calibri" w:eastAsia="Calibri" w:hAnsi="Calibri"/>
          <w:color w:val="3A4A61"/>
          <w:sz w:val="21"/>
          <w:szCs w:val="21"/>
        </w:rPr>
        <w:t xml:space="preserve"> kişiye indirmiştir. İşletme kararı tutarlı biçimde uygulanmış, fesihten sonra davacının pozisyonuna yeni işçi alınmamıştır. Fesih son çare olarak uygulanmış; davacının </w:t>
      </w:r>
      <w:r>
        <w:rPr>
          <w:rFonts w:ascii="Calibri" w:cs="Calibri" w:eastAsia="Calibri" w:hAnsi="Calibri"/>
          <w:color w:val="1D5888"/>
          <w:sz w:val="21"/>
          <w:szCs w:val="21"/>
          <w:shd w:fill="EAF1F8" w:color="auto" w:val="clear"/>
        </w:rPr>
        <w:t xml:space="preserve">[diğer bölüm / şube / pozisyon]</w:t>
      </w:r>
      <w:r>
        <w:rPr>
          <w:rFonts w:ascii="Calibri" w:cs="Calibri" w:eastAsia="Calibri" w:hAnsi="Calibri"/>
          <w:color w:val="3A4A61"/>
          <w:sz w:val="21"/>
          <w:szCs w:val="21"/>
        </w:rPr>
        <w:t xml:space="preserve">'da istihdam imkânı araştırılmış, </w:t>
      </w:r>
      <w:r>
        <w:rPr>
          <w:rFonts w:ascii="Calibri" w:cs="Calibri" w:eastAsia="Calibri" w:hAnsi="Calibri"/>
          <w:color w:val="1D5888"/>
          <w:sz w:val="21"/>
          <w:szCs w:val="21"/>
          <w:shd w:fill="EAF1F8" w:color="auto" w:val="clear"/>
        </w:rPr>
        <w:t xml:space="preserve">[teklif yapılmış ve reddedilmiş / uygun boş kadro bulunmamıştır]</w:t>
      </w:r>
      <w:r>
        <w:rPr>
          <w:rFonts w:ascii="Calibri" w:cs="Calibri" w:eastAsia="Calibri" w:hAnsi="Calibri"/>
          <w:color w:val="3A4A61"/>
          <w:sz w:val="21"/>
          <w:szCs w:val="21"/>
        </w:rPr>
        <w:t xml:space="preserve">; fazla çalışmalar kaldırılmış ve </w:t>
      </w:r>
      <w:r>
        <w:rPr>
          <w:rFonts w:ascii="Calibri" w:cs="Calibri" w:eastAsia="Calibri" w:hAnsi="Calibri"/>
          <w:color w:val="1D5888"/>
          <w:sz w:val="21"/>
          <w:szCs w:val="21"/>
          <w:shd w:fill="EAF1F8" w:color="auto" w:val="clear"/>
        </w:rPr>
        <w:t xml:space="preserve">[esnek çalışma / ücretsiz izin vb.]</w:t>
      </w:r>
      <w:r>
        <w:rPr>
          <w:rFonts w:ascii="Calibri" w:cs="Calibri" w:eastAsia="Calibri" w:hAnsi="Calibri"/>
          <w:color w:val="3A4A61"/>
          <w:sz w:val="21"/>
          <w:szCs w:val="21"/>
        </w:rPr>
        <w:t xml:space="preserve"> alternatifler değerlendirilmiştir. Fesih edilecek işçilerin seçiminde </w:t>
      </w:r>
      <w:r>
        <w:rPr>
          <w:rFonts w:ascii="Calibri" w:cs="Calibri" w:eastAsia="Calibri" w:hAnsi="Calibri"/>
          <w:color w:val="1D5888"/>
          <w:sz w:val="21"/>
          <w:szCs w:val="21"/>
          <w:shd w:fill="EAF1F8" w:color="auto" w:val="clear"/>
        </w:rPr>
        <w:t xml:space="preserve">[objektif kriterler]</w:t>
      </w:r>
      <w:r>
        <w:rPr>
          <w:rFonts w:ascii="Calibri" w:cs="Calibri" w:eastAsia="Calibri" w:hAnsi="Calibri"/>
          <w:color w:val="3A4A61"/>
          <w:sz w:val="21"/>
          <w:szCs w:val="21"/>
        </w:rPr>
        <w:t xml:space="preserve"> uygulanmıştır.</w:t>
      </w:r>
    </w:p>
    <w:p>
      <w:pPr>
        <w:spacing w:after="120" w:before="0" w:line="300"/>
        <w:jc w:val="both"/>
      </w:pPr>
      <w:r>
        <w:rPr>
          <w:rFonts w:ascii="Calibri" w:cs="Calibri" w:eastAsia="Calibri" w:hAnsi="Calibri"/>
          <w:b/>
          <w:bCs/>
          <w:color w:val="3A4A61"/>
          <w:sz w:val="21"/>
          <w:szCs w:val="21"/>
        </w:rPr>
        <w:t xml:space="preserve">Davacının başka sebep iddiası:</w:t>
      </w:r>
      <w:r>
        <w:rPr>
          <w:rFonts w:ascii="Calibri" w:cs="Calibri" w:eastAsia="Calibri" w:hAnsi="Calibri"/>
          <w:color w:val="3A4A61"/>
          <w:sz w:val="21"/>
          <w:szCs w:val="21"/>
        </w:rPr>
        <w:t xml:space="preserve"> Davacı, feshin </w:t>
      </w:r>
      <w:r>
        <w:rPr>
          <w:rFonts w:ascii="Calibri" w:cs="Calibri" w:eastAsia="Calibri" w:hAnsi="Calibri"/>
          <w:color w:val="1D5888"/>
          <w:sz w:val="21"/>
          <w:szCs w:val="21"/>
          <w:shd w:fill="EAF1F8" w:color="auto" w:val="clear"/>
        </w:rPr>
        <w:t xml:space="preserve">[sendikal neden / şikâyet / hamilelik vb.]</w:t>
      </w:r>
      <w:r>
        <w:rPr>
          <w:rFonts w:ascii="Calibri" w:cs="Calibri" w:eastAsia="Calibri" w:hAnsi="Calibri"/>
          <w:color w:val="3A4A61"/>
          <w:sz w:val="21"/>
          <w:szCs w:val="21"/>
        </w:rPr>
        <w:t xml:space="preserve"> başka bir sebebe dayandığını iddia etmektedir. 4857 sayılı Kanun'un 20. maddesi uyarınca bu iddiayı ispat yükü davacıdadır. Fesih yukarıda açıklanan ve belgelenen nedene dayanmakta olup davacının iddiası gerçeği yansıtmamaktadır.</w:t>
      </w:r>
    </w:p>
    <w:p>
      <w:pPr>
        <w:keepNext/>
        <w:pBdr>
          <w:bottom w:val="single" w:color="DCE4EE" w:sz="6" w:space="4"/>
        </w:pBdr>
        <w:spacing w:before="280" w:after="120"/>
      </w:pPr>
      <w:r>
        <w:rPr>
          <w:rFonts w:ascii="Calibri" w:cs="Calibri" w:eastAsia="Calibri" w:hAnsi="Calibri"/>
          <w:b/>
          <w:bCs/>
          <w:color w:val="0E2849"/>
          <w:sz w:val="25"/>
          <w:szCs w:val="25"/>
        </w:rPr>
        <w:t xml:space="preserve">D. Feri Taleplere İlişkin Cevaplarımız</w:t>
      </w:r>
    </w:p>
    <w:p>
      <w:pPr>
        <w:spacing w:after="120" w:before="0" w:line="300"/>
        <w:jc w:val="both"/>
      </w:pPr>
      <w:r>
        <w:rPr>
          <w:rFonts w:ascii="Calibri" w:cs="Calibri" w:eastAsia="Calibri" w:hAnsi="Calibri"/>
          <w:color w:val="3A4A61"/>
          <w:sz w:val="21"/>
          <w:szCs w:val="21"/>
        </w:rPr>
        <w:t xml:space="preserve">Mahkemeniz aksi kanaate varsa, 4857 sayılı Kanun'un 21. maddesi uyarınca işe başlatmama tazminatının fesih nedeninin niteliği ve davacının kıdemi dikkate alınarak alt sınırdan (dört aylık ücret) belirlenmesini; boşta geçen süre ücretinin dört ayı aşmamak üzere hesaplanmasını; davacıya ödenmiş olan kıdem tazminatı ve bildirim süresi ücretinin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olarak mahsubuna karar verilmesini talep ederiz. Hesaplamalarda davacının dava tarihindeki gerçek ücretinin </w:t>
      </w:r>
      <w:r>
        <w:rPr>
          <w:rFonts w:ascii="Calibri" w:cs="Calibri" w:eastAsia="Calibri" w:hAnsi="Calibri"/>
          <w:color w:val="1D5888"/>
          <w:sz w:val="21"/>
          <w:szCs w:val="21"/>
          <w:shd w:fill="EAF1F8" w:color="auto" w:val="clear"/>
        </w:rPr>
        <w:t xml:space="preserve">[Tutar]</w:t>
      </w:r>
      <w:r>
        <w:rPr>
          <w:rFonts w:ascii="Calibri" w:cs="Calibri" w:eastAsia="Calibri" w:hAnsi="Calibri"/>
          <w:color w:val="3A4A61"/>
          <w:sz w:val="21"/>
          <w:szCs w:val="21"/>
        </w:rPr>
        <w:t xml:space="preserve"> TL brüt olduğu dikkate alınmalıdır.</w:t>
      </w:r>
    </w:p>
    <w:p>
      <w:pPr>
        <w:keepNext/>
        <w:pBdr>
          <w:bottom w:val="single" w:color="DCE4EE" w:sz="6" w:space="4"/>
        </w:pBdr>
        <w:spacing w:before="280" w:after="120"/>
      </w:pPr>
      <w:r>
        <w:rPr>
          <w:rFonts w:ascii="Calibri" w:cs="Calibri" w:eastAsia="Calibri" w:hAnsi="Calibri"/>
          <w:b/>
          <w:bCs/>
          <w:color w:val="0E2849"/>
          <w:sz w:val="25"/>
          <w:szCs w:val="25"/>
        </w:rPr>
        <w:t xml:space="preserve">E. Deliller</w:t>
      </w:r>
    </w:p>
    <w:p>
      <w:pPr>
        <w:pStyle w:val="ListParagraph"/>
        <w:numPr>
          <w:ilvl w:val="0"/>
          <w:numId w:val="2"/>
        </w:numPr>
        <w:spacing w:after="80" w:line="290"/>
      </w:pPr>
      <w:r>
        <w:rPr>
          <w:rFonts w:ascii="Calibri" w:cs="Calibri" w:eastAsia="Calibri" w:hAnsi="Calibri"/>
          <w:color w:val="3A4A61"/>
          <w:sz w:val="21"/>
          <w:szCs w:val="21"/>
        </w:rPr>
        <w:t xml:space="preserve">Fesih bildirimi ve tebliğ belgesi</w:t>
      </w:r>
    </w:p>
    <w:p>
      <w:pPr>
        <w:pStyle w:val="ListParagraph"/>
        <w:numPr>
          <w:ilvl w:val="0"/>
          <w:numId w:val="2"/>
        </w:numPr>
        <w:spacing w:after="80" w:line="290"/>
      </w:pPr>
      <w:r>
        <w:rPr>
          <w:rFonts w:ascii="Calibri" w:cs="Calibri" w:eastAsia="Calibri" w:hAnsi="Calibri"/>
          <w:color w:val="3A4A61"/>
          <w:sz w:val="21"/>
          <w:szCs w:val="21"/>
        </w:rPr>
        <w:t xml:space="preserve">Savunma istem yazısı ve davacının yazılı savunması / savunma vermediğine dair tutanak</w:t>
      </w:r>
    </w:p>
    <w:p>
      <w:pPr>
        <w:pStyle w:val="ListParagraph"/>
        <w:numPr>
          <w:ilvl w:val="0"/>
          <w:numId w:val="2"/>
        </w:numPr>
        <w:spacing w:after="80" w:line="290"/>
      </w:pPr>
      <w:r>
        <w:rPr>
          <w:rFonts w:ascii="Calibri" w:cs="Calibri" w:eastAsia="Calibri" w:hAnsi="Calibri"/>
          <w:color w:val="3A4A61"/>
          <w:sz w:val="21"/>
          <w:szCs w:val="21"/>
        </w:rPr>
        <w:t xml:space="preserve">Disiplin tutanakları, uyarı ve ihtar yazıları, tanık beyanları</w:t>
      </w:r>
    </w:p>
    <w:p>
      <w:pPr>
        <w:pStyle w:val="ListParagraph"/>
        <w:numPr>
          <w:ilvl w:val="0"/>
          <w:numId w:val="2"/>
        </w:numPr>
        <w:spacing w:after="80" w:line="290"/>
      </w:pPr>
      <w:r>
        <w:rPr>
          <w:rFonts w:ascii="Calibri" w:cs="Calibri" w:eastAsia="Calibri" w:hAnsi="Calibri"/>
          <w:color w:val="3A4A61"/>
          <w:sz w:val="21"/>
          <w:szCs w:val="21"/>
        </w:rPr>
        <w:t xml:space="preserve">Performans değerlendirme formları, hedef kartları, gelişim planı</w:t>
      </w:r>
    </w:p>
    <w:p>
      <w:pPr>
        <w:pStyle w:val="ListParagraph"/>
        <w:numPr>
          <w:ilvl w:val="0"/>
          <w:numId w:val="2"/>
        </w:numPr>
        <w:spacing w:after="80" w:line="290"/>
      </w:pPr>
      <w:r>
        <w:rPr>
          <w:rFonts w:ascii="Calibri" w:cs="Calibri" w:eastAsia="Calibri" w:hAnsi="Calibri"/>
          <w:color w:val="3A4A61"/>
          <w:sz w:val="21"/>
          <w:szCs w:val="21"/>
        </w:rPr>
        <w:t xml:space="preserve">İşletme kararı, yönetim kurulu kararı, yeni organizasyon şeması, kadro planı</w:t>
      </w:r>
    </w:p>
    <w:p>
      <w:pPr>
        <w:pStyle w:val="ListParagraph"/>
        <w:numPr>
          <w:ilvl w:val="0"/>
          <w:numId w:val="2"/>
        </w:numPr>
        <w:spacing w:after="80" w:line="290"/>
      </w:pPr>
      <w:r>
        <w:rPr>
          <w:rFonts w:ascii="Calibri" w:cs="Calibri" w:eastAsia="Calibri" w:hAnsi="Calibri"/>
          <w:color w:val="3A4A61"/>
          <w:sz w:val="21"/>
          <w:szCs w:val="21"/>
        </w:rPr>
        <w:t xml:space="preserve">Fesih öncesi ve sonrası personel listesi, işe giriş-çıkış bildirgeleri</w:t>
      </w:r>
    </w:p>
    <w:p>
      <w:pPr>
        <w:pStyle w:val="ListParagraph"/>
        <w:numPr>
          <w:ilvl w:val="0"/>
          <w:numId w:val="2"/>
        </w:numPr>
        <w:spacing w:after="80" w:line="290"/>
      </w:pPr>
      <w:r>
        <w:rPr>
          <w:rFonts w:ascii="Calibri" w:cs="Calibri" w:eastAsia="Calibri" w:hAnsi="Calibri"/>
          <w:color w:val="3A4A61"/>
          <w:sz w:val="21"/>
          <w:szCs w:val="21"/>
        </w:rPr>
        <w:t xml:space="preserve">Başka pozisyon teklifi yazısı ve davacının cevabı</w:t>
      </w:r>
    </w:p>
    <w:p>
      <w:pPr>
        <w:pStyle w:val="ListParagraph"/>
        <w:numPr>
          <w:ilvl w:val="0"/>
          <w:numId w:val="2"/>
        </w:numPr>
        <w:spacing w:after="80" w:line="290"/>
      </w:pPr>
      <w:r>
        <w:rPr>
          <w:rFonts w:ascii="Calibri" w:cs="Calibri" w:eastAsia="Calibri" w:hAnsi="Calibri"/>
          <w:color w:val="3A4A61"/>
          <w:sz w:val="21"/>
          <w:szCs w:val="21"/>
        </w:rPr>
        <w:t xml:space="preserve">SGK aylık prim ve hizmet belgeleri (işçi sayısı), iş sözleşmesi, özlük dosyası</w:t>
      </w:r>
    </w:p>
    <w:p>
      <w:pPr>
        <w:pStyle w:val="ListParagraph"/>
        <w:numPr>
          <w:ilvl w:val="0"/>
          <w:numId w:val="2"/>
        </w:numPr>
        <w:spacing w:after="80" w:line="290"/>
      </w:pPr>
      <w:r>
        <w:rPr>
          <w:rFonts w:ascii="Calibri" w:cs="Calibri" w:eastAsia="Calibri" w:hAnsi="Calibri"/>
          <w:color w:val="3A4A61"/>
          <w:sz w:val="21"/>
          <w:szCs w:val="21"/>
        </w:rPr>
        <w:t xml:space="preserve">Bordrolar, kıdem / ihbar ödeme dekontları</w:t>
      </w:r>
    </w:p>
    <w:p>
      <w:pPr>
        <w:pStyle w:val="ListParagraph"/>
        <w:numPr>
          <w:ilvl w:val="0"/>
          <w:numId w:val="2"/>
        </w:numPr>
        <w:spacing w:after="80" w:line="290"/>
      </w:pPr>
      <w:r>
        <w:rPr>
          <w:rFonts w:ascii="Calibri" w:cs="Calibri" w:eastAsia="Calibri" w:hAnsi="Calibri"/>
          <w:color w:val="3A4A61"/>
          <w:sz w:val="21"/>
          <w:szCs w:val="21"/>
        </w:rPr>
        <w:t xml:space="preserve">Arabuluculuk son tutanağı</w:t>
      </w:r>
    </w:p>
    <w:p>
      <w:pPr>
        <w:pStyle w:val="ListParagraph"/>
        <w:numPr>
          <w:ilvl w:val="0"/>
          <w:numId w:val="2"/>
        </w:numPr>
        <w:spacing w:after="80" w:line="290"/>
      </w:pPr>
      <w:r>
        <w:rPr>
          <w:rFonts w:ascii="Calibri" w:cs="Calibri" w:eastAsia="Calibri" w:hAnsi="Calibri"/>
          <w:color w:val="3A4A61"/>
          <w:sz w:val="21"/>
          <w:szCs w:val="21"/>
        </w:rPr>
        <w:t xml:space="preserve">Tanık, bilirkişi, keşif ve her türlü yasal delil</w:t>
      </w:r>
    </w:p>
    <w:p>
      <w:pPr>
        <w:keepNext/>
        <w:pBdr>
          <w:bottom w:val="single" w:color="DCE4EE" w:sz="6" w:space="4"/>
        </w:pBdr>
        <w:spacing w:before="280" w:after="120"/>
      </w:pPr>
      <w:r>
        <w:rPr>
          <w:rFonts w:ascii="Calibri" w:cs="Calibri" w:eastAsia="Calibri" w:hAnsi="Calibri"/>
          <w:b/>
          <w:bCs/>
          <w:color w:val="0E2849"/>
          <w:sz w:val="25"/>
          <w:szCs w:val="25"/>
        </w:rPr>
        <w:t xml:space="preserve">F. Hukuki Sebepler</w:t>
      </w:r>
    </w:p>
    <w:p>
      <w:pPr>
        <w:spacing w:after="120" w:before="0" w:line="300"/>
        <w:jc w:val="both"/>
      </w:pPr>
      <w:r>
        <w:rPr>
          <w:rFonts w:ascii="Calibri" w:cs="Calibri" w:eastAsia="Calibri" w:hAnsi="Calibri"/>
          <w:color w:val="3A4A61"/>
          <w:sz w:val="21"/>
          <w:szCs w:val="21"/>
        </w:rPr>
        <w:t xml:space="preserve">4857 sayılı İş Kanunu md. 17–21, 25; 7036 sayılı İş Mahkemeleri Kanunu; 6100 sayılı Hukuk Muhakemeleri Kanunu ve ilgili mevzuat.</w:t>
      </w:r>
    </w:p>
    <w:p>
      <w:pPr>
        <w:keepNext/>
        <w:pBdr>
          <w:bottom w:val="single" w:color="DCE4EE" w:sz="6" w:space="4"/>
        </w:pBdr>
        <w:spacing w:before="280" w:after="120"/>
      </w:pPr>
      <w:r>
        <w:rPr>
          <w:rFonts w:ascii="Calibri" w:cs="Calibri" w:eastAsia="Calibri" w:hAnsi="Calibri"/>
          <w:b/>
          <w:bCs/>
          <w:color w:val="0E2849"/>
          <w:sz w:val="25"/>
          <w:szCs w:val="25"/>
        </w:rPr>
        <w:t xml:space="preserve">G. Sonuç ve İstem</w:t>
      </w:r>
    </w:p>
    <w:p>
      <w:pPr>
        <w:spacing w:after="120" w:before="0" w:line="300"/>
        <w:jc w:val="both"/>
      </w:pPr>
      <w:r>
        <w:rPr>
          <w:rFonts w:ascii="Calibri" w:cs="Calibri" w:eastAsia="Calibri" w:hAnsi="Calibri"/>
          <w:color w:val="3A4A61"/>
          <w:sz w:val="21"/>
          <w:szCs w:val="21"/>
        </w:rPr>
        <w:t xml:space="preserve">Yukarıda açıklanan ve re'sen gözetilecek nedenlerle; davanın </w:t>
      </w:r>
      <w:r>
        <w:rPr>
          <w:rFonts w:ascii="Calibri" w:cs="Calibri" w:eastAsia="Calibri" w:hAnsi="Calibri"/>
          <w:b/>
          <w:bCs/>
          <w:color w:val="3A4A61"/>
          <w:sz w:val="21"/>
          <w:szCs w:val="21"/>
        </w:rPr>
        <w:t xml:space="preserve">usulden</w:t>
      </w:r>
      <w:r>
        <w:rPr>
          <w:rFonts w:ascii="Calibri" w:cs="Calibri" w:eastAsia="Calibri" w:hAnsi="Calibri"/>
          <w:color w:val="3A4A61"/>
          <w:sz w:val="21"/>
          <w:szCs w:val="21"/>
        </w:rPr>
        <w:t xml:space="preserve">, bu talebimiz kabul görmez ise </w:t>
      </w:r>
      <w:r>
        <w:rPr>
          <w:rFonts w:ascii="Calibri" w:cs="Calibri" w:eastAsia="Calibri" w:hAnsi="Calibri"/>
          <w:b/>
          <w:bCs/>
          <w:color w:val="3A4A61"/>
          <w:sz w:val="21"/>
          <w:szCs w:val="21"/>
        </w:rPr>
        <w:t xml:space="preserve">esastan reddine</w:t>
      </w:r>
      <w:r>
        <w:rPr>
          <w:rFonts w:ascii="Calibri" w:cs="Calibri" w:eastAsia="Calibri" w:hAnsi="Calibri"/>
          <w:color w:val="3A4A61"/>
          <w:sz w:val="21"/>
          <w:szCs w:val="21"/>
        </w:rPr>
        <w:t xml:space="preserve">, yargılama giderleri ile vekâlet ücretinin davacıya yükletilmesine; Mahkemeniz aksi kanaatte ise feri taleplerin yukarıda açıklanan şekilde belirlenmesine karar verilmesini saygılarımızla arz ederiz.</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[Tarih]</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Davalı Vekili / Davalı Şirket Yetkilisi</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İşe İade Cevabı Hazırlık Kontrol Listesi (iç kullanım – mahkemeye sunulmaz)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Fesih bildiriminin tebliğ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Arabulucuya başvuru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Son tutanak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Dava tarihi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Cevap süresinin son günü</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Sorumlu avukat</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Bir aylık arabuluculuk ve iki haftalık dava açma süreleri tarihleriyle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Fesih tarihindeki işçi sayısı, aynı işkolundaki tüm işyerleri toplanarak SGK belgeleriyle hesaplandı.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Davacının altı aylık kıdemi ve sözleşmenin türü (belirli / belirsiz) kontrol edildi; belirli süreli sözleşmede objektif neden belgesi bulundu.</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Fesih bildiriminin yazılı olduğu, fesih sebebinin açık ve kesin yazıldığı ve tebliğ edildiği belgelendi.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Davranış veya verim nedeniyle fesihte savunma alındığı (veya savunmaya davet edilip gelinmediği) belgelendi.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İşletme gereklerinde işletme kararı, kadro azalması, fesih sonrası yeni işe alım yapılmadığı ve feshin son çare olduğu belgelendi.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Davacıya teklif edilebilecek başka pozisyonlar ve yapılan teklifler belgelendi.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Davacının başka sebep iddiası (sendika, şikâyet, hamilelik, hastalık) için karşı deliller toplandı.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Davacının gerçek brüt ücreti ve ödenen kıdem / ihbar tutarları mahsup için hesaplandı.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Tanıklar belirlendi; dilekçe ve deliller süresinde UYAP'a yüklendi.</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 Uyarı</w:t>
            </w:r>
          </w:p>
          <w:p>
            <w:pPr>
              <w:spacing w:after="20" w:line="280"/>
            </w:pPr>
            <w:r>
              <w:rPr>
                <w:rFonts w:ascii="Calibri" w:cs="Calibri" w:eastAsia="Calibri" w:hAnsi="Calibri"/>
                <w:color w:val="3A4A61"/>
                <w:sz w:val="19"/>
                <w:szCs w:val="19"/>
              </w:rPr>
              <w:t xml:space="preserve">İşe iade davasında feshin geçerli nedene dayandığını ispat yükü işverendedir (4857 md. 20). Dava ivedilikle görülür ve istinaf incelemesi sonunda bölge adliye mahkemesinin kararı kesindir. Feshin geçersizliğine karar verilirse işçi kesinleşen kararın tebliğinden itibaren on iş günü içinde işe başlamak için başvurabilir; işveren bir ay içinde işe başlatmazsa 4–8 aylık ücret tutarında tazminat öder. Bu şablon genel bir iskelettir; avukatınızla birlikte uyarlayın.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Belge No: [İK-HK-02]</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İşe İade Davası Cevap Dilekçesi (Davalı İşveren)</dc:title>
  <dc:creator>İK Partner</dc:creator>
  <dc:description>İşe İade Davası Cevap Dilekçesi (Davalı İşveren) — İK Partner (ikpartner.com) ücretsiz İK şablonu</dc:description>
  <cp:lastModifiedBy>Un-named</cp:lastModifiedBy>
  <cp:revision>1</cp:revision>
  <dcterms:created xsi:type="dcterms:W3CDTF">2026-10-13T21:41:18.995Z</dcterms:created>
  <dcterms:modified xsi:type="dcterms:W3CDTF">2026-10-13T21:41:18.997Z</dcterms:modified>
</cp:coreProperties>
</file>

<file path=docProps/custom.xml><?xml version="1.0" encoding="utf-8"?>
<Properties xmlns="http://schemas.openxmlformats.org/officeDocument/2006/custom-properties" xmlns:vt="http://schemas.openxmlformats.org/officeDocument/2006/docPropsVTypes"/>
</file>