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İş Kazası Tazminat Talebine Cevap Yazısı</w:t>
      </w:r>
    </w:p>
    <w:p>
      <w:pPr>
        <w:pBdr>
          <w:bottom w:val="single" w:color="13B8A7" w:sz="12" w:space="8"/>
        </w:pBdr>
        <w:spacing w:after="220"/>
      </w:pPr>
      <w:r>
        <w:rPr>
          <w:rFonts w:ascii="Calibri" w:cs="Calibri" w:eastAsia="Calibri" w:hAnsi="Calibri"/>
          <w:color w:val="5A6B82"/>
          <w:sz w:val="21"/>
          <w:szCs w:val="21"/>
        </w:rPr>
        <w:t xml:space="preserve">İş kazası sonrası maddi ve manevi tazminat talep eden ihtarname veya dilekçeye işverenin cevabı; olay ve belge özeti, kusur ve tutar itirazları, uzlaşma seçeneği ile sigorta ve dosya kontrol listesi.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İş kazası tazminat talepleri, kusur oranı, maluliyet ve sosyal güvenlik ödemelerinin mahsubu gibi teknik konular içerir. Bu taslağı göndermeden önce avukatınızla ve varsa işveren mali sorumluluk sigortacınızla birlikte uyarlayın. Cevapta kazaya ilişkin kabul beyanı niteliğinde ifade kullanmayın.</w:t>
            </w:r>
          </w:p>
        </w:tc>
      </w:tr>
    </w:tbl>
    <w:p>
      <w:pPr>
        <w:spacing w:after="120" w:before="0"/>
      </w:pPr>
    </w:p>
    <w:p>
      <w:pPr>
        <w:spacing w:after="120" w:before="0" w:line="300"/>
        <w:jc w:val="both"/>
      </w:pPr>
      <w:r>
        <w:rPr>
          <w:rFonts w:ascii="Calibri" w:cs="Calibri" w:eastAsia="Calibri" w:hAnsi="Calibri"/>
          <w:b/>
          <w:bCs/>
          <w:color w:val="3A4A61"/>
          <w:sz w:val="21"/>
          <w:szCs w:val="21"/>
        </w:rPr>
        <w:t xml:space="preserve">[ŞİRKET UNVANI]</w:t>
      </w:r>
    </w:p>
    <w:p>
      <w:pPr>
        <w:spacing w:after="120" w:before="0" w:line="300"/>
        <w:jc w:val="both"/>
      </w:pPr>
      <w:r>
        <w:rPr>
          <w:rFonts w:ascii="Calibri" w:cs="Calibri" w:eastAsia="Calibri" w:hAnsi="Calibri"/>
          <w:color w:val="1D5888"/>
          <w:sz w:val="21"/>
          <w:szCs w:val="21"/>
          <w:shd w:fill="EAF1F8" w:color="auto" w:val="clear"/>
        </w:rPr>
        <w:t xml:space="preserve">[Şirket Adresi]</w:t>
      </w:r>
      <w:r>
        <w:rPr>
          <w:rFonts w:ascii="Calibri" w:cs="Calibri" w:eastAsia="Calibri" w:hAnsi="Calibri"/>
          <w:color w:val="3A4A61"/>
          <w:sz w:val="21"/>
          <w:szCs w:val="21"/>
        </w:rPr>
        <w:t xml:space="preserve"> · Vergi Dairesi / No: </w:t>
      </w:r>
      <w:r>
        <w:rPr>
          <w:rFonts w:ascii="Calibri" w:cs="Calibri" w:eastAsia="Calibri" w:hAnsi="Calibri"/>
          <w:color w:val="1D5888"/>
          <w:sz w:val="21"/>
          <w:szCs w:val="21"/>
          <w:shd w:fill="EAF1F8" w:color="auto" w:val="clear"/>
        </w:rPr>
        <w:t xml:space="preserve">[Vergi Dairesi / No]</w:t>
      </w:r>
      <w:r>
        <w:rPr>
          <w:rFonts w:ascii="Calibri" w:cs="Calibri" w:eastAsia="Calibri" w:hAnsi="Calibri"/>
          <w:color w:val="3A4A61"/>
          <w:sz w:val="21"/>
          <w:szCs w:val="21"/>
        </w:rPr>
        <w:t xml:space="preserve"> · KEP: </w:t>
      </w:r>
      <w:r>
        <w:rPr>
          <w:rFonts w:ascii="Calibri" w:cs="Calibri" w:eastAsia="Calibri" w:hAnsi="Calibri"/>
          <w:color w:val="1D5888"/>
          <w:sz w:val="21"/>
          <w:szCs w:val="21"/>
          <w:shd w:fill="EAF1F8" w:color="auto" w:val="clear"/>
        </w:rPr>
        <w:t xml:space="preserve">[KEP Adresi]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İş kazasına ilişkin tazminat talebinize cevap</w:t>
            </w:r>
          </w:p>
        </w:tc>
      </w:tr>
    </w:tbl>
    <w:p>
      <w:pPr>
        <w:spacing w:after="120" w:before="0"/>
      </w:pP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b/>
          <w:bCs/>
          <w:color w:val="3A4A61"/>
          <w:sz w:val="21"/>
          <w:szCs w:val="21"/>
        </w:rPr>
        <w:t xml:space="preserve">[Çalışanın / Hak Sahibinin Adı Soyadı]</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[ve Vekili Av. [Ad Soyad]</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b/>
          <w:bCs/>
          <w:color w:val="3A4A61"/>
          <w:sz w:val="21"/>
          <w:szCs w:val="21"/>
        </w:rPr>
        <w:t xml:space="preserve">İlgi:</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tarihli dilekçeniz / </w:t>
      </w:r>
      <w:r>
        <w:rPr>
          <w:rFonts w:ascii="Calibri" w:cs="Calibri" w:eastAsia="Calibri" w:hAnsi="Calibri"/>
          <w:color w:val="1D5888"/>
          <w:sz w:val="21"/>
          <w:szCs w:val="21"/>
          <w:shd w:fill="EAF1F8" w:color="auto" w:val="clear"/>
        </w:rPr>
        <w:t xml:space="preserve">[Noterlik]</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[Yevmiye No]</w:t>
      </w:r>
      <w:r>
        <w:rPr>
          <w:rFonts w:ascii="Calibri" w:cs="Calibri" w:eastAsia="Calibri" w:hAnsi="Calibri"/>
          <w:color w:val="3A4A61"/>
          <w:sz w:val="21"/>
          <w:szCs w:val="21"/>
        </w:rPr>
        <w:t xml:space="preserve"> yevmiye numaralı ihtarnameniz (şirketimize tebliğ tarihi: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3A4A61"/>
          <w:sz w:val="21"/>
          <w:szCs w:val="21"/>
        </w:rPr>
        <w:t xml:space="preserve">İlgide kayıtlı başvurunuzda, </w:t>
      </w:r>
      <w:r>
        <w:rPr>
          <w:rFonts w:ascii="Calibri" w:cs="Calibri" w:eastAsia="Calibri" w:hAnsi="Calibri"/>
          <w:color w:val="1D5888"/>
          <w:sz w:val="21"/>
          <w:szCs w:val="21"/>
          <w:shd w:fill="EAF1F8" w:color="auto" w:val="clear"/>
        </w:rPr>
        <w:t xml:space="preserve">[Kaza Tarihi]</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[İşyeri / Bölüm]</w:t>
      </w:r>
      <w:r>
        <w:rPr>
          <w:rFonts w:ascii="Calibri" w:cs="Calibri" w:eastAsia="Calibri" w:hAnsi="Calibri"/>
          <w:color w:val="3A4A61"/>
          <w:sz w:val="21"/>
          <w:szCs w:val="21"/>
        </w:rPr>
        <w:t xml:space="preserve"> bölümünde meydana gelen olay nedeniyle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maddi ve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manevi tazminatın ödenmesini talep ettiğiniz görülmüştür. Öncelikle geçmiş olsun dileklerimizi iletir, iyileşme sürecinizi takip ettiğimizi belirtmek isteriz. Başvurunuz, aşağıda özetlenen kayıtlar esas alınarak incelenmiştir.</w:t>
      </w:r>
    </w:p>
    <w:p>
      <w:pPr>
        <w:keepNext/>
        <w:pBdr>
          <w:bottom w:val="single" w:color="DCE4EE" w:sz="6" w:space="4"/>
        </w:pBdr>
        <w:spacing w:before="280" w:after="120"/>
      </w:pPr>
      <w:r>
        <w:rPr>
          <w:rFonts w:ascii="Calibri" w:cs="Calibri" w:eastAsia="Calibri" w:hAnsi="Calibri"/>
          <w:b/>
          <w:bCs/>
          <w:color w:val="0E2849"/>
          <w:sz w:val="25"/>
          <w:szCs w:val="25"/>
        </w:rPr>
        <w:t xml:space="preserve">Olaya ve Kayıtlara İlişkin Özet</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614"/>
        <w:gridCol w:w="6024"/>
      </w:tblGrid>
      <w:tr>
        <w:trPr>
          <w:cantSplit/>
          <w:trHeight w:val="400" w:hRule="atLeast"/>
        </w:trPr>
        <w:tc>
          <w:tcPr>
            <w:tcW w:type="dxa" w:w="36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Bilgi</w:t>
            </w:r>
          </w:p>
        </w:tc>
        <w:tc>
          <w:tcPr>
            <w:tcW w:type="dxa" w:w="602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36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Kaza tarihi, saati ve yeri</w:t>
            </w:r>
          </w:p>
        </w:tc>
        <w:tc>
          <w:tcPr>
            <w:tcW w:type="dxa" w:w="602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 SS:DD — Yer]</w:t>
            </w:r>
          </w:p>
        </w:tc>
      </w:tr>
      <w:tr>
        <w:trPr>
          <w:cantSplit/>
          <w:trHeight w:val="380" w:hRule="atLeast"/>
        </w:trPr>
        <w:tc>
          <w:tcPr>
            <w:tcW w:type="dxa" w:w="36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SGK'ya iş kazası bildirim tarihi</w:t>
            </w:r>
          </w:p>
        </w:tc>
        <w:tc>
          <w:tcPr>
            <w:tcW w:type="dxa" w:w="602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r>
              <w:rPr>
                <w:rFonts w:ascii="Calibri" w:cs="Calibri" w:eastAsia="Calibri" w:hAnsi="Calibri"/>
                <w:color w:val="3A4A61"/>
                <w:sz w:val="19"/>
                <w:szCs w:val="19"/>
              </w:rPr>
              <w:t xml:space="preserve"> (kazadan sonraki üç iş günü içinde)</w:t>
            </w:r>
          </w:p>
        </w:tc>
      </w:tr>
      <w:tr>
        <w:trPr>
          <w:cantSplit/>
          <w:trHeight w:val="380" w:hRule="atLeast"/>
        </w:trPr>
        <w:tc>
          <w:tcPr>
            <w:tcW w:type="dxa" w:w="36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kazası tespit tutanağı / kök neden analizi</w:t>
            </w:r>
          </w:p>
        </w:tc>
        <w:tc>
          <w:tcPr>
            <w:tcW w:type="dxa" w:w="602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 / Belge No]</w:t>
            </w:r>
          </w:p>
        </w:tc>
      </w:tr>
      <w:tr>
        <w:trPr>
          <w:cantSplit/>
          <w:trHeight w:val="380" w:hRule="atLeast"/>
        </w:trPr>
        <w:tc>
          <w:tcPr>
            <w:tcW w:type="dxa" w:w="36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Çalışanın aldığı İSG eğitimleri</w:t>
            </w:r>
          </w:p>
        </w:tc>
        <w:tc>
          <w:tcPr>
            <w:tcW w:type="dxa" w:w="602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[Eğitim adı ve tarihi]</w:t>
            </w:r>
          </w:p>
        </w:tc>
      </w:tr>
      <w:tr>
        <w:trPr>
          <w:cantSplit/>
          <w:trHeight w:val="380" w:hRule="atLeast"/>
        </w:trPr>
        <w:tc>
          <w:tcPr>
            <w:tcW w:type="dxa" w:w="36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Kazaya ilişkin risk değerlendirmesi ve talimat</w:t>
            </w:r>
          </w:p>
        </w:tc>
        <w:tc>
          <w:tcPr>
            <w:tcW w:type="dxa" w:w="602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[Risk değerlendirmesi revizyon tarihi / talimat no]</w:t>
            </w:r>
          </w:p>
        </w:tc>
      </w:tr>
      <w:tr>
        <w:trPr>
          <w:cantSplit/>
          <w:trHeight w:val="380" w:hRule="atLeast"/>
        </w:trPr>
        <w:tc>
          <w:tcPr>
            <w:tcW w:type="dxa" w:w="36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Zimmetlenen kişisel koruyucu donanım</w:t>
            </w:r>
          </w:p>
        </w:tc>
        <w:tc>
          <w:tcPr>
            <w:tcW w:type="dxa" w:w="602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[KKD türü ve zimmet tarihi]</w:t>
            </w:r>
          </w:p>
        </w:tc>
      </w:tr>
      <w:tr>
        <w:trPr>
          <w:cantSplit/>
          <w:trHeight w:val="380" w:hRule="atLeast"/>
        </w:trPr>
        <w:tc>
          <w:tcPr>
            <w:tcW w:type="dxa" w:w="36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SGK müfettiş raporu / kusur tespiti</w:t>
            </w:r>
          </w:p>
        </w:tc>
        <w:tc>
          <w:tcPr>
            <w:tcW w:type="dxa" w:w="602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Henüz düzenlenmedi ☐ Düzenlendi: </w:t>
            </w:r>
            <w:r>
              <w:rPr>
                <w:rFonts w:ascii="Calibri" w:cs="Calibri" w:eastAsia="Calibri" w:hAnsi="Calibri"/>
                <w:color w:val="1D5888"/>
                <w:sz w:val="19"/>
                <w:szCs w:val="19"/>
                <w:shd w:fill="EAF1F8" w:color="auto" w:val="clear"/>
              </w:rPr>
              <w:t xml:space="preserve">[Tarih, özet]</w:t>
            </w:r>
          </w:p>
        </w:tc>
      </w:tr>
      <w:tr>
        <w:trPr>
          <w:cantSplit/>
          <w:trHeight w:val="380" w:hRule="atLeast"/>
        </w:trPr>
        <w:tc>
          <w:tcPr>
            <w:tcW w:type="dxa" w:w="36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Geçici iş göremezlik süresi / sürekli iş göremezlik oranı</w:t>
            </w:r>
          </w:p>
        </w:tc>
        <w:tc>
          <w:tcPr>
            <w:tcW w:type="dxa" w:w="602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 Kesinleşmedi ☐ Kesinleşti</w:t>
            </w:r>
          </w:p>
        </w:tc>
      </w:tr>
      <w:tr>
        <w:trPr>
          <w:cantSplit/>
          <w:trHeight w:val="380" w:hRule="atLeast"/>
        </w:trPr>
        <w:tc>
          <w:tcPr>
            <w:tcW w:type="dxa" w:w="36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SGK tarafından bağlanan gelir</w:t>
            </w:r>
          </w:p>
        </w:tc>
        <w:tc>
          <w:tcPr>
            <w:tcW w:type="dxa" w:w="602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Yok ☐ Var: </w:t>
            </w:r>
            <w:r>
              <w:rPr>
                <w:rFonts w:ascii="Calibri" w:cs="Calibri" w:eastAsia="Calibri" w:hAnsi="Calibri"/>
                <w:color w:val="1D5888"/>
                <w:sz w:val="19"/>
                <w:szCs w:val="19"/>
                <w:shd w:fill="EAF1F8" w:color="auto" w:val="clear"/>
              </w:rPr>
              <w:t xml:space="preserve">[Başlangıç tarihi]</w:t>
            </w:r>
          </w:p>
        </w:tc>
      </w:tr>
      <w:tr>
        <w:trPr>
          <w:cantSplit/>
          <w:trHeight w:val="380" w:hRule="atLeast"/>
        </w:trPr>
        <w:tc>
          <w:tcPr>
            <w:tcW w:type="dxa" w:w="36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İşveren mali sorumluluk sigortası</w:t>
            </w:r>
          </w:p>
        </w:tc>
        <w:tc>
          <w:tcPr>
            <w:tcW w:type="dxa" w:w="602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Yok ☐ Var: </w:t>
            </w:r>
            <w:r>
              <w:rPr>
                <w:rFonts w:ascii="Calibri" w:cs="Calibri" w:eastAsia="Calibri" w:hAnsi="Calibri"/>
                <w:color w:val="1D5888"/>
                <w:sz w:val="19"/>
                <w:szCs w:val="19"/>
                <w:shd w:fill="EAF1F8" w:color="auto" w:val="clear"/>
              </w:rPr>
              <w:t xml:space="preserve">[Sigorta şirketi / poliçe no — sigortacıya bildirim tarihi]</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Değerlendirmemiz</w:t>
      </w:r>
    </w:p>
    <w:p>
      <w:pPr>
        <w:spacing w:after="120" w:before="0" w:line="300"/>
        <w:jc w:val="both"/>
      </w:pPr>
      <w:r>
        <w:rPr>
          <w:rFonts w:ascii="Calibri" w:cs="Calibri" w:eastAsia="Calibri" w:hAnsi="Calibri"/>
          <w:color w:val="3A4A61"/>
          <w:sz w:val="21"/>
          <w:szCs w:val="21"/>
        </w:rPr>
        <w:t xml:space="preserve">Uygun seçenek(ler)i işaretleyiniz; kullanılmayanları gönderimden önce siliniz.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A – Uzlaşma görüşmesi teklifi:</w:t>
      </w:r>
      <w:r>
        <w:rPr>
          <w:rFonts w:ascii="Calibri" w:cs="Calibri" w:eastAsia="Calibri" w:hAnsi="Calibri"/>
          <w:color w:val="3A4A61"/>
          <w:sz w:val="21"/>
          <w:szCs w:val="21"/>
        </w:rPr>
        <w:t xml:space="preserve"> Talebinizi değerlendirmek ve uyuşmazlığı yargıya taşımadan çözmek amacıyla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[yer / çevrim içi]</w:t>
      </w:r>
      <w:r>
        <w:rPr>
          <w:rFonts w:ascii="Calibri" w:cs="Calibri" w:eastAsia="Calibri" w:hAnsi="Calibri"/>
          <w:color w:val="3A4A61"/>
          <w:sz w:val="21"/>
          <w:szCs w:val="21"/>
        </w:rPr>
        <w:t xml:space="preserve"> bir görüşme yapılmasını veya ihtiyari arabuluculuk yoluna başvurulmasını teklif ediyoruz. Görüşmede maluliyet raporu, SGK ödemeleri ve kusur tespitleri birlikte ele alınabilecektir.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B – Olayın niteliğine ilişkin değerlendirme:</w:t>
      </w:r>
      <w:r>
        <w:rPr>
          <w:rFonts w:ascii="Calibri" w:cs="Calibri" w:eastAsia="Calibri" w:hAnsi="Calibri"/>
          <w:color w:val="3A4A61"/>
          <w:sz w:val="21"/>
          <w:szCs w:val="21"/>
        </w:rPr>
        <w:t xml:space="preserve"> Olayın 5510 sayılı Kanun md. 13 kapsamında iş kazası sayılıp sayılmayacağına ilişkin </w:t>
      </w:r>
      <w:r>
        <w:rPr>
          <w:rFonts w:ascii="Calibri" w:cs="Calibri" w:eastAsia="Calibri" w:hAnsi="Calibri"/>
          <w:color w:val="1D5888"/>
          <w:sz w:val="21"/>
          <w:szCs w:val="21"/>
          <w:shd w:fill="EAF1F8" w:color="auto" w:val="clear"/>
        </w:rPr>
        <w:t xml:space="preserve">[SGK incelemesi devam etmektedir / şirketimizin tespitleri ekte sunulmuştur]</w:t>
      </w:r>
      <w:r>
        <w:rPr>
          <w:rFonts w:ascii="Calibri" w:cs="Calibri" w:eastAsia="Calibri" w:hAnsi="Calibri"/>
          <w:color w:val="3A4A61"/>
          <w:sz w:val="21"/>
          <w:szCs w:val="21"/>
        </w:rPr>
        <w:t xml:space="preserve">. Bu süreç sonuçlanmadan tazminat talebinin değerlendirilmesi mümkün değildir.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C – Kusura ilişkin itirazımız:</w:t>
      </w:r>
      <w:r>
        <w:rPr>
          <w:rFonts w:ascii="Calibri" w:cs="Calibri" w:eastAsia="Calibri" w:hAnsi="Calibri"/>
          <w:color w:val="3A4A61"/>
          <w:sz w:val="21"/>
          <w:szCs w:val="21"/>
        </w:rPr>
        <w:t xml:space="preserve"> Şirketimiz, 6331 sayılı Kanun kapsamındaki yükümlülükleri çerçevesinde risk değerlendirmesini yapmış, size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[eğitim]</w:t>
      </w:r>
      <w:r>
        <w:rPr>
          <w:rFonts w:ascii="Calibri" w:cs="Calibri" w:eastAsia="Calibri" w:hAnsi="Calibri"/>
          <w:color w:val="3A4A61"/>
          <w:sz w:val="21"/>
          <w:szCs w:val="21"/>
        </w:rPr>
        <w:t xml:space="preserve"> vermiş, </w:t>
      </w:r>
      <w:r>
        <w:rPr>
          <w:rFonts w:ascii="Calibri" w:cs="Calibri" w:eastAsia="Calibri" w:hAnsi="Calibri"/>
          <w:color w:val="1D5888"/>
          <w:sz w:val="21"/>
          <w:szCs w:val="21"/>
          <w:shd w:fill="EAF1F8" w:color="auto" w:val="clear"/>
        </w:rPr>
        <w:t xml:space="preserve">[KKD]</w:t>
      </w:r>
      <w:r>
        <w:rPr>
          <w:rFonts w:ascii="Calibri" w:cs="Calibri" w:eastAsia="Calibri" w:hAnsi="Calibri"/>
          <w:color w:val="3A4A61"/>
          <w:sz w:val="21"/>
          <w:szCs w:val="21"/>
        </w:rPr>
        <w:t xml:space="preserve"> zimmetlemiş ve </w:t>
      </w:r>
      <w:r>
        <w:rPr>
          <w:rFonts w:ascii="Calibri" w:cs="Calibri" w:eastAsia="Calibri" w:hAnsi="Calibri"/>
          <w:color w:val="1D5888"/>
          <w:sz w:val="21"/>
          <w:szCs w:val="21"/>
          <w:shd w:fill="EAF1F8" w:color="auto" w:val="clear"/>
        </w:rPr>
        <w:t xml:space="preserve">[talimat]</w:t>
      </w:r>
      <w:r>
        <w:rPr>
          <w:rFonts w:ascii="Calibri" w:cs="Calibri" w:eastAsia="Calibri" w:hAnsi="Calibri"/>
          <w:color w:val="3A4A61"/>
          <w:sz w:val="21"/>
          <w:szCs w:val="21"/>
        </w:rPr>
        <w:t xml:space="preserve"> ile çalışma yöntemini yazılı olarak bildirmiştir. Kayıtlara göre olay, </w:t>
      </w:r>
      <w:r>
        <w:rPr>
          <w:rFonts w:ascii="Calibri" w:cs="Calibri" w:eastAsia="Calibri" w:hAnsi="Calibri"/>
          <w:color w:val="1D5888"/>
          <w:sz w:val="21"/>
          <w:szCs w:val="21"/>
          <w:shd w:fill="EAF1F8" w:color="auto" w:val="clear"/>
        </w:rPr>
        <w:t xml:space="preserve">[talimata aykırı davranış / koruyucu donanımın kullanılmaması / yetkisiz müdahale]</w:t>
      </w:r>
      <w:r>
        <w:rPr>
          <w:rFonts w:ascii="Calibri" w:cs="Calibri" w:eastAsia="Calibri" w:hAnsi="Calibri"/>
          <w:color w:val="3A4A61"/>
          <w:sz w:val="21"/>
          <w:szCs w:val="21"/>
        </w:rPr>
        <w:t xml:space="preserve"> sonucu meydana gelmiştir. Kusur oranlarının ancak uzman bilirkişi incelemesiyle belirlenebileceğini, bu belirleme yapılmadan talep edilen tutarların kabul edilemeyeceğini bildiririz.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D – Tutara ilişkin itirazımız:</w:t>
      </w:r>
      <w:r>
        <w:rPr>
          <w:rFonts w:ascii="Calibri" w:cs="Calibri" w:eastAsia="Calibri" w:hAnsi="Calibri"/>
          <w:color w:val="3A4A61"/>
          <w:sz w:val="21"/>
          <w:szCs w:val="21"/>
        </w:rPr>
        <w:t xml:space="preserve"> Talep edilen maddi tazminat; </w:t>
      </w:r>
      <w:r>
        <w:rPr>
          <w:rFonts w:ascii="Calibri" w:cs="Calibri" w:eastAsia="Calibri" w:hAnsi="Calibri"/>
          <w:color w:val="1D5888"/>
          <w:sz w:val="21"/>
          <w:szCs w:val="21"/>
          <w:shd w:fill="EAF1F8" w:color="auto" w:val="clear"/>
        </w:rPr>
        <w:t xml:space="preserve">[kesinleşmemiş bir maluliyet oranına / gerçeği yansıtmayan bir gelir varsayımına]</w:t>
      </w:r>
      <w:r>
        <w:rPr>
          <w:rFonts w:ascii="Calibri" w:cs="Calibri" w:eastAsia="Calibri" w:hAnsi="Calibri"/>
          <w:color w:val="3A4A61"/>
          <w:sz w:val="21"/>
          <w:szCs w:val="21"/>
        </w:rPr>
        <w:t xml:space="preserve"> dayanmaktadır. Ayrıca Sosyal Güvenlik Kurumu tarafından yapılan ve rücuya tabi ödemelerin ve bağlanan gelirin peşin sermaye değerinin, yapılmışsa işveren ödemelerinin ve varsa müterafik kusurun (Türk Borçlar Kanunu md. 52) hesapta dikkate alınması gerekmektedir. Manevi tazminat talebinin de olayın özellikleriyle orantılı olmadığı kanaatindeyiz.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E – Ön ödeme bildirimi:</w:t>
      </w:r>
      <w:r>
        <w:rPr>
          <w:rFonts w:ascii="Calibri" w:cs="Calibri" w:eastAsia="Calibri" w:hAnsi="Calibri"/>
          <w:color w:val="3A4A61"/>
          <w:sz w:val="21"/>
          <w:szCs w:val="21"/>
        </w:rPr>
        <w:t xml:space="preserve"> Şirketimiz, hiçbir kusur kabulü anlamına gelmemek ve ileride belirlenecek tazminattan mahsup edilmek kaydıyla, </w:t>
      </w:r>
      <w:r>
        <w:rPr>
          <w:rFonts w:ascii="Calibri" w:cs="Calibri" w:eastAsia="Calibri" w:hAnsi="Calibri"/>
          <w:color w:val="1D5888"/>
          <w:sz w:val="21"/>
          <w:szCs w:val="21"/>
          <w:shd w:fill="EAF1F8" w:color="auto" w:val="clear"/>
        </w:rPr>
        <w:t xml:space="preserve">[tedavi giderleri / Tutar TL]</w:t>
      </w:r>
      <w:r>
        <w:rPr>
          <w:rFonts w:ascii="Calibri" w:cs="Calibri" w:eastAsia="Calibri" w:hAnsi="Calibri"/>
          <w:color w:val="3A4A61"/>
          <w:sz w:val="21"/>
          <w:szCs w:val="21"/>
        </w:rPr>
        <w:t xml:space="preserve"> tutarındaki ödemeyi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banka aracılığıyla hesabınıza yatıracaktır.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F – Talebin reddi:</w:t>
      </w:r>
      <w:r>
        <w:rPr>
          <w:rFonts w:ascii="Calibri" w:cs="Calibri" w:eastAsia="Calibri" w:hAnsi="Calibri"/>
          <w:color w:val="3A4A61"/>
          <w:sz w:val="21"/>
          <w:szCs w:val="21"/>
        </w:rPr>
        <w:t xml:space="preserve"> Yukarıda açıklanan nedenlerle, ilgide kayıtlı başvurunuzdaki tazminat talepleri bu aşamada kabul edilmemektedir.</w:t>
      </w:r>
    </w:p>
    <w:p>
      <w:pPr>
        <w:spacing w:after="120" w:before="0" w:line="300"/>
        <w:jc w:val="both"/>
      </w:pPr>
      <w:r>
        <w:rPr>
          <w:rFonts w:ascii="Calibri" w:cs="Calibri" w:eastAsia="Calibri" w:hAnsi="Calibri"/>
          <w:color w:val="3A4A61"/>
          <w:sz w:val="21"/>
          <w:szCs w:val="21"/>
        </w:rPr>
        <w:t xml:space="preserve">İş sözleşmeniz devam ettiği sürece işyerine dönüşünüzde işyeri hekiminin değerlendirmesi doğrultusunda uygun çalışma koşulları sağlanacaktır. Bu cevap, yukarıda açıkça kabul edilenler dışındaki hususlarda şirketimizin kabulü anlamına gelmez; her türlü yasal hakkımız saklıdır.</w:t>
      </w:r>
    </w:p>
    <w:p>
      <w:pPr>
        <w:spacing w:after="120" w:before="0" w:line="300"/>
        <w:jc w:val="both"/>
      </w:pPr>
      <w:r>
        <w:rPr>
          <w:rFonts w:ascii="Calibri" w:cs="Calibri" w:eastAsia="Calibri" w:hAnsi="Calibri"/>
          <w:color w:val="3A4A61"/>
          <w:sz w:val="21"/>
          <w:szCs w:val="21"/>
        </w:rPr>
        <w:t xml:space="preserve">Bilgilerinize sunarız.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Ekler: </w:t>
      </w:r>
      <w:r>
        <w:rPr>
          <w:rFonts w:ascii="Calibri" w:cs="Calibri" w:eastAsia="Calibri" w:hAnsi="Calibri"/>
          <w:color w:val="1D5888"/>
          <w:sz w:val="21"/>
          <w:szCs w:val="21"/>
          <w:shd w:fill="EAF1F8" w:color="auto" w:val="clear"/>
        </w:rPr>
        <w:t xml:space="preserve">[İş kazası tespit tutanağı]</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[SGK bildirim belgesi]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[İSG eğitim kayıtları]</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[KKD zimmet formu]</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[Risk değerlendirmesi ilgili bölümü]</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 İSG İçin Kontrol Listesi – İş Kazası Tazminat Talebi</w:t>
      </w:r>
    </w:p>
    <w:p>
      <w:pPr>
        <w:spacing w:after="120" w:before="0" w:line="300"/>
        <w:jc w:val="both"/>
      </w:pPr>
      <w:r>
        <w:rPr>
          <w:rFonts w:ascii="Calibri" w:cs="Calibri" w:eastAsia="Calibri" w:hAnsi="Calibri"/>
          <w:color w:val="3A4A61"/>
          <w:sz w:val="21"/>
          <w:szCs w:val="21"/>
        </w:rPr>
        <w:t xml:space="preserve">Bu sayfa iç kullanım içindir; karşı tarafa gönderilmez.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782"/>
        <w:gridCol w:w="963"/>
        <w:gridCol w:w="2893"/>
      </w:tblGrid>
      <w:tr>
        <w:trPr>
          <w:cantSplit/>
          <w:trHeight w:val="400" w:hRule="atLeast"/>
        </w:trPr>
        <w:tc>
          <w:tcPr>
            <w:tcW w:type="dxa" w:w="57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Adım</w:t>
            </w:r>
          </w:p>
        </w:tc>
        <w:tc>
          <w:tcPr>
            <w:tcW w:type="dxa" w:w="96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Yapıldı</w:t>
            </w:r>
          </w:p>
        </w:tc>
        <w:tc>
          <w:tcPr>
            <w:tcW w:type="dxa" w:w="289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Talebin tebliğ tarihi kaydedildi; avukat ve iş güvenliği uzmanı bilgilendirildi</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İşveren mali sorumluluk sigortacısına poliçe şartlarına uygun sürede yazılı bildirim yapıldı</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Kaza tutanağı, tanık ifadeleri, fotoğraf ve kamera kayıtları korunmaya alındı</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SGK bildiriminin kazadan sonraki üç iş günü içinde yapıldığı belgelendi (6331 md. 14)</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Risk değerlendirmesi, talimatlar, eğitim ve KKD zimmet kayıtları dosyaya eklendi</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Kök neden analizi tamamlandı; düzeltici önlemler uygulandı ve kayda alındı</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SGK müfettiş incelemesi ve maluliyet tespit süreci takip ediliyor</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SGK'nın rücu ihtimali (5510 md. 21) mali işlerle birlikte değerlendirildi</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Ön ödeme veya uzlaşma yapılacaksa ibra şartları (TBK md. 420) ve mahsup kuralları avukatla kontrol edildi</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Sağlık verileri yalnızca işyeri hekimi ve yetkili kişilerle, gizlilik içinde paylaşıldı</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Cevap noter veya KEP aracılığıyla gönderildi; örneği dava dosyasına konuldu</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İK İçin Hatırlatma</w:t>
            </w:r>
          </w:p>
          <w:p>
            <w:pPr>
              <w:spacing w:after="20" w:line="280"/>
            </w:pPr>
            <w:r>
              <w:rPr>
                <w:rFonts w:ascii="Calibri" w:cs="Calibri" w:eastAsia="Calibri" w:hAnsi="Calibri"/>
                <w:color w:val="3A4A61"/>
                <w:sz w:val="19"/>
                <w:szCs w:val="19"/>
              </w:rPr>
              <w:t xml:space="preserve">İş kazası veya meslek hastalığından kaynaklanan maddi ve manevi tazminat davalarında arabuluculuk dava şartı değildir (7036 sayılı Kanun md. 3/3); çalışan doğrudan dava açabilir. Uzlaşma ödemelerinde ibra beyanı, Türk Borçlar Kanunu md. 420 şartlarına tabidir. Sağlık raporları özel nitelikli kişisel veridir (KVKK md. 6). Bu şablon genel bilgilendirme amaçlıdır; avukatınızla birlikte uyarlayın.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RESMİ YAZI ŞABLONU</w:t>
          </w:r>
          <w:r>
            <w:rPr>
              <w:rFonts w:ascii="Calibri" w:cs="Calibri" w:eastAsia="Calibri" w:hAnsi="Calibri"/>
              <w:color w:val="8C9BB0"/>
              <w:sz w:val="16"/>
              <w:szCs w:val="16"/>
            </w:rPr>
            <w:t xml:space="preserve">  ·  Belge No: [İK-Y-xx]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 Kazası Tazminat Talebine Cevap Yazısı</dc:title>
  <dc:creator>İK Partner</dc:creator>
  <dc:description>İş Kazası Tazminat Talebine Cevap Yazısı — İK Partner (ikpartner.com) ücretsiz İK şablonu</dc:description>
  <cp:lastModifiedBy>Un-named</cp:lastModifiedBy>
  <cp:revision>1</cp:revision>
  <dcterms:created xsi:type="dcterms:W3CDTF">2026-10-13T21:44:50.491Z</dcterms:created>
  <dcterms:modified xsi:type="dcterms:W3CDTF">2026-10-13T21:44:50.493Z</dcterms:modified>
</cp:coreProperties>
</file>

<file path=docProps/custom.xml><?xml version="1.0" encoding="utf-8"?>
<Properties xmlns="http://schemas.openxmlformats.org/officeDocument/2006/custom-properties" xmlns:vt="http://schemas.openxmlformats.org/officeDocument/2006/docPropsVTypes"/>
</file>