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Fesih Öncesi Savunma Alma ve Değerlendirme Formu</w:t>
      </w:r>
    </w:p>
    <w:p>
      <w:pPr>
        <w:pBdr>
          <w:bottom w:val="single" w:color="13B8A7" w:sz="12" w:space="8"/>
        </w:pBdr>
        <w:spacing w:after="220"/>
      </w:pPr>
      <w:r>
        <w:rPr>
          <w:rFonts w:ascii="Calibri" w:cs="Calibri" w:eastAsia="Calibri" w:hAnsi="Calibri"/>
          <w:color w:val="5A6B82"/>
          <w:sz w:val="21"/>
          <w:szCs w:val="21"/>
        </w:rPr>
        <w:t xml:space="preserve">Davranış veya verim nedeniyle fesih düşünülen çalışan için iş güvencesi kapsam kontrolü, iddia ve deliller, savunma daveti, çalışanın savunması, değerlendirme ve karar bölümleri (İş Kanunu md. 19).</w:t>
      </w:r>
    </w:p>
    <w:p>
      <w:pPr>
        <w:keepNext/>
        <w:pBdr>
          <w:bottom w:val="single" w:color="DCE4EE" w:sz="6" w:space="4"/>
        </w:pBdr>
        <w:spacing w:before="280" w:after="120"/>
      </w:pPr>
      <w:r>
        <w:rPr>
          <w:rFonts w:ascii="Calibri" w:cs="Calibri" w:eastAsia="Calibri" w:hAnsi="Calibri"/>
          <w:b/>
          <w:bCs/>
          <w:color w:val="0E2849"/>
          <w:sz w:val="25"/>
          <w:szCs w:val="25"/>
        </w:rPr>
        <w:t xml:space="preserve">Bölüm A – Çalışan ve Kapsam Kontrolü (İK doldurur)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 Türü</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Belirsiz süreli  ☐ Belirli süreli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No</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2409"/>
        <w:gridCol w:w="2410"/>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 Güvencesi Kapsam Ölçütü (md. 18)</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4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İşyerinde / aynı işkolundaki işyerlerinde toplam 30 veya daha fazla işçi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1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[İşçi sayısı]</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en az 6 aylık kıdemi</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[Kıdem]</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Belirsiz süreli iş sözleşmesi</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10"/>
            <w:tcMar>
              <w:top w:type="dxa" w:w="60"/>
              <w:left w:type="dxa" w:w="110"/>
              <w:bottom w:type="dxa" w:w="60"/>
              <w:right w:type="dxa" w:w="110"/>
            </w:tcMar>
            <w:vAlign w:val="center"/>
          </w:tcPr>
          <w:p>
            <w:pPr>
              <w:spacing w:before="40" w:after="40"/>
            </w:pP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İşletmenin / işyerinin bütününü yöneten ve işe alma-çıkarma yetkisi olan işveren vekili değil</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41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Sonuç: ☐ Çalışan iş güvencesi kapsamında – md. 19 savunma zorunluluğu uygulanır.   ☐ Kapsam dışında – savunma yine de alınacaktır (önerilen).</w:t>
      </w:r>
    </w:p>
    <w:p>
      <w:pPr>
        <w:keepNext/>
        <w:pBdr>
          <w:bottom w:val="single" w:color="DCE4EE" w:sz="6" w:space="4"/>
        </w:pBdr>
        <w:spacing w:before="280" w:after="120"/>
      </w:pPr>
      <w:r>
        <w:rPr>
          <w:rFonts w:ascii="Calibri" w:cs="Calibri" w:eastAsia="Calibri" w:hAnsi="Calibri"/>
          <w:b/>
          <w:bCs/>
          <w:color w:val="0E2849"/>
          <w:sz w:val="25"/>
          <w:szCs w:val="25"/>
        </w:rPr>
        <w:t xml:space="preserve">Bölüm B – Fesih Gerekçesinin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Davranıştan kaynaklanan geçerli neden (md. 18)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Verim / yeterlilikten kaynaklanan geçerli neden (md. 18)</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Ahlak ve iyi niyet kurallarına uymayan hal – haklı neden (md. 25/II, bent: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Henüz belirlenmedi – savunma sonrası değerlendirilecek</w:t>
      </w:r>
    </w:p>
    <w:p>
      <w:pPr>
        <w:keepNext/>
        <w:pBdr>
          <w:bottom w:val="single" w:color="DCE4EE" w:sz="6" w:space="4"/>
        </w:pBdr>
        <w:spacing w:before="280" w:after="120"/>
      </w:pPr>
      <w:r>
        <w:rPr>
          <w:rFonts w:ascii="Calibri" w:cs="Calibri" w:eastAsia="Calibri" w:hAnsi="Calibri"/>
          <w:b/>
          <w:bCs/>
          <w:color w:val="0E2849"/>
          <w:sz w:val="25"/>
          <w:szCs w:val="25"/>
        </w:rPr>
        <w:t xml:space="preserve">Bölüm C – İddia, Olgular ve Deliller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4015"/>
        <w:gridCol w:w="2409"/>
        <w:gridCol w:w="2411"/>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Olay / Eksiklik (tarih, saat, yer)</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İhlal Edilen Kural</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Delil</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4015"/>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Tutanak ☐ Kayıt ☐ E-posta ☐ Tanık</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4015"/>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Tutanak ☐ Kayıt ☐ E-posta ☐ Tanık</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4015"/>
            <w:tcMar>
              <w:top w:type="dxa" w:w="60"/>
              <w:left w:type="dxa" w:w="110"/>
              <w:bottom w:type="dxa" w:w="60"/>
              <w:right w:type="dxa" w:w="110"/>
            </w:tcMar>
            <w:vAlign w:val="center"/>
          </w:tcPr>
          <w:p>
            <w:pPr>
              <w:spacing w:before="40" w:after="40"/>
            </w:pPr>
          </w:p>
        </w:tc>
        <w:tc>
          <w:tcPr>
            <w:tcW w:type="dxa" w:w="2409"/>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Tutanak ☐ Kayıt ☐ E-posta ☐ Tanık</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1752"/>
        <w:gridCol w:w="3504"/>
        <w:gridCol w:w="1754"/>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Önceki Uyarı / Disiplin Kaydı</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Tebliğ Edildi mi?</w:t>
            </w: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504"/>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3504"/>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3504"/>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Verim nedeniyle değerlendirmede: Performans hedefleri yazılı mı? ☐ Evet  ☐ Hayır   |   Gelişim planı / eğitim verildi mi? ☐ Evet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 Hayır   |   Aynı işi yapanlarla karşılaştırma yapıldı mı? ☐ Evet  ☐ Hayır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Fiilin İşverence Öğrenildiği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Haklı Fesih İçin Son Gün (6 iş günü)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Fiilin Gerçekleştiği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Yıllık Üst Sınır</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Bölüm D – Savunmaya Davet</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yukarıda Bölüm C'de tarih ve ayrıntılarıyla belirtilen iddialar nedeniyle hakkınızda iş sözleşmenizin feshi dahil olmak üzere bir değerlendirme yapılmaktadır. Herhangi bir karar verilmeden önce açıklamalarınızı almak istiyoruz. Yazılı savunmanızı bu formun tebliğinden itibaren </w:t>
      </w: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içinde, en geç </w:t>
      </w:r>
      <w:r>
        <w:rPr>
          <w:rFonts w:ascii="Calibri" w:cs="Calibri" w:eastAsia="Calibri" w:hAnsi="Calibri"/>
          <w:b/>
          <w:bCs/>
          <w:color w:val="3A4A61"/>
          <w:sz w:val="21"/>
          <w:szCs w:val="21"/>
        </w:rPr>
        <w:t xml:space="preserve">[Tarih] saat [__:__]</w:t>
      </w:r>
      <w:r>
        <w:rPr>
          <w:rFonts w:ascii="Calibri" w:cs="Calibri" w:eastAsia="Calibri" w:hAnsi="Calibri"/>
          <w:color w:val="3A4A61"/>
          <w:sz w:val="21"/>
          <w:szCs w:val="21"/>
        </w:rPr>
        <w:t xml:space="preserve">'a kadar İnsan Kaynakları birimine teslim etmeniz ya da bu tarihe kadar sözlü savunma için randevu almanız gerekmektedir. İddialara ilişkin belgeleri talep ederek inceleyebilirsiniz. Belirtilen süre içinde savunma vermemeniz halinde savunma hakkınızı kullanmaktan vazgeçmiş sayılacağınızı ve değerlendirmenin dosyadaki bilgi ve belgelerle yapılacağını bildiririz.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Şekli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 Elden  ☐ Noter  ☐ Taahhütlü posta  ☐ Diğer</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Tebliğ Tarihi / Saati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Bölüm E – Çalışanın Savunması</w:t>
      </w:r>
    </w:p>
    <w:p>
      <w:pPr>
        <w:spacing w:after="120" w:before="0" w:line="300"/>
        <w:jc w:val="both"/>
      </w:pPr>
      <w:r>
        <w:rPr>
          <w:rFonts w:ascii="Calibri" w:cs="Calibri" w:eastAsia="Calibri" w:hAnsi="Calibri"/>
          <w:color w:val="3A4A61"/>
          <w:sz w:val="21"/>
          <w:szCs w:val="21"/>
        </w:rPr>
        <w:t xml:space="preserve">Bölüm C'deki iddialara ilişkin açıklamalarım aşağıdadır (yer yetmezse ek sayfa kullanılabilir):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Dinlenmesini istediğim tanıklar / sunduğum belgeler: </w:t>
      </w:r>
      <w:r>
        <w:rPr>
          <w:rFonts w:ascii="Calibri" w:cs="Calibri" w:eastAsia="Calibri" w:hAnsi="Calibri"/>
          <w:color w:val="1D5888"/>
          <w:sz w:val="21"/>
          <w:szCs w:val="21"/>
          <w:shd w:fill="EAF1F8" w:color="auto" w:val="clear"/>
        </w:rPr>
        <w:t xml:space="preserve">[__________]</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Savunmamı yazılı olarak verdim.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Sözlü savunma verdim; ayrı tutanak düzenlendi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vermek istemiyorum.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Savunmayı Veren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Bölüm F – Savunmanın Değerlendirilmesi (İK / Kurul doldurur)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3212"/>
        <w:gridCol w:w="3212"/>
        <w:gridCol w:w="2411"/>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İddia No</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Savunmadaki Açıklama</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İnceleme (tanık, kayıt)</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Sabit  ☐ Sabit değil</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212"/>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Sabit  ☐ Sabit değil</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Sabit  ☐ Sabit değil</w:t>
            </w:r>
          </w:p>
        </w:tc>
      </w:tr>
    </w:tbl>
    <w:p>
      <w:pPr>
        <w:spacing w:after="120" w:before="0"/>
      </w:pPr>
    </w:p>
    <w:p>
      <w:pPr>
        <w:spacing w:after="120" w:before="0" w:line="300"/>
        <w:jc w:val="both"/>
      </w:pPr>
      <w:r>
        <w:rPr>
          <w:rFonts w:ascii="Calibri" w:cs="Calibri" w:eastAsia="Calibri" w:hAnsi="Calibri"/>
          <w:color w:val="3A4A61"/>
          <w:sz w:val="21"/>
          <w:szCs w:val="21"/>
        </w:rPr>
        <w:t xml:space="preserve">Feshin son çare olup olmadığı (ölçülülük):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Daha hafif bir yaptırım (uyarı, kınama) yeterli olur mu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Başka bir pozisyonda veya eğitimle çalıştırma imkânı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durumdaki diğer çalışanlara uygulanan yaptırımlarla karşılaştırıldı (eşit davranma).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Olay ile karar arasındaki süre makul; işverenin olayı hoş gördüğü izlenimi yok.</w:t>
      </w:r>
    </w:p>
    <w:p>
      <w:pPr>
        <w:keepNext/>
        <w:pBdr>
          <w:bottom w:val="single" w:color="DCE4EE" w:sz="6" w:space="4"/>
        </w:pBdr>
        <w:spacing w:before="280" w:after="120"/>
      </w:pPr>
      <w:r>
        <w:rPr>
          <w:rFonts w:ascii="Calibri" w:cs="Calibri" w:eastAsia="Calibri" w:hAnsi="Calibri"/>
          <w:b/>
          <w:bCs/>
          <w:color w:val="0E2849"/>
          <w:sz w:val="25"/>
          <w:szCs w:val="25"/>
        </w:rPr>
        <w:t xml:space="preserve">Bölüm G – Karar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İşlem yapılmasına gerek yoktur.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Disiplin yaptırımı uygulanacaktır: </w:t>
      </w:r>
      <w:r>
        <w:rPr>
          <w:rFonts w:ascii="Calibri" w:cs="Calibri" w:eastAsia="Calibri" w:hAnsi="Calibri"/>
          <w:color w:val="1D5888"/>
          <w:sz w:val="21"/>
          <w:szCs w:val="21"/>
          <w:shd w:fill="EAF1F8" w:color="auto" w:val="clear"/>
        </w:rPr>
        <w:t xml:space="preserve">[Uyarı / Kınama / Diğer]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 geçerli nedenle, bildirim süresine uyularak / bildirim süresi ücreti peşin ödenerek feshedilecektir (md. 17–19).</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 md. 25/II-</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uyarınca haklı nedenle derhal feshedilecektir (md. 26 süresi içinde).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Karar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Bildirimi Tebliğ Tarihi (planlanan)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Bildiriminde Yazılacak Sebep (açık ve kesin)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Çıkış Kodu (planlanan)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Müdürü</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Genel Müdür / Yetkili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İddialar somut; tarih, saat, yer ve ihlal edilen kural yazılı.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Deliller dosyada; tanık beyanları imzalı.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 daveti tebliğ edildi; çalışana makul süre tanındı ve belgeleri inceleme imkânı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Savunmada gösterilen tanık ve belgeler incelendi; sonuç Bölüm F'ye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 yazılı ve fesih sebebi açık ve kesin olacak şekilde hazırlandı (md. 19).</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Haklı fesihte 6 iş günü / 1 yıl süreleri kontrol edildi (md. 26).</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Ödemeler, SGK çıkış kodu ve çalışma belgesi işten çıkış kontrol listesine aktarıldı.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Bu form, işverenin iç değerlendirme kaydıdır; fesih bildirimi yerine geçmez. Fesih bildirimi ayrı ve yazılı olarak yapılmalı, sebep açık ve kesin belirtilmelidir. Feshin geçerli sebebe dayandığını ispat yükü işverendedir (md. 20). Haklı nedenle fesih ve işe iade riski taşıyan kararlarda avukatınızla birlikte hareket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[İK-D-06]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Fesih Öncesi Savunma Alma ve Değerlendirme Formu</dc:title>
  <dc:creator>İK Partner</dc:creator>
  <dc:description>Fesih Öncesi Savunma Alma ve Değerlendirme Formu — İK Partner (ikpartner.com) ücretsiz İK şablonu</dc:description>
  <cp:lastModifiedBy>Un-named</cp:lastModifiedBy>
  <cp:revision>1</cp:revision>
  <dcterms:created xsi:type="dcterms:W3CDTF">2026-10-13T21:39:41.548Z</dcterms:created>
  <dcterms:modified xsi:type="dcterms:W3CDTF">2026-10-13T21:39:41.550Z</dcterms:modified>
</cp:coreProperties>
</file>

<file path=docProps/custom.xml><?xml version="1.0" encoding="utf-8"?>
<Properties xmlns="http://schemas.openxmlformats.org/officeDocument/2006/custom-properties" xmlns:vt="http://schemas.openxmlformats.org/officeDocument/2006/docPropsVTypes"/>
</file>