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jc w:val="center"/>
      </w:pPr>
      <w:r>
        <w:rPr>
          <w:rFonts w:ascii="Calibri" w:cs="Calibri" w:eastAsia="Calibri" w:hAnsi="Calibri"/>
          <w:b/>
          <w:bCs/>
          <w:color w:val="0E2849"/>
          <w:sz w:val="38"/>
          <w:szCs w:val="38"/>
        </w:rPr>
        <w:t xml:space="preserve">Fazla Mesai Alacağı Davası Cevap Dilekçesi</w:t>
      </w:r>
    </w:p>
    <w:p>
      <w:pPr>
        <w:pBdr>
          <w:bottom w:val="single" w:color="13B8A7" w:sz="12" w:space="8"/>
        </w:pBdr>
        <w:spacing w:after="220"/>
        <w:jc w:val="center"/>
      </w:pPr>
      <w:r>
        <w:rPr>
          <w:rFonts w:ascii="Calibri" w:cs="Calibri" w:eastAsia="Calibri" w:hAnsi="Calibri"/>
          <w:color w:val="5A6B82"/>
          <w:sz w:val="21"/>
          <w:szCs w:val="21"/>
        </w:rPr>
        <w:t xml:space="preserve">Davalı işverenin cevap dilekçesi örneği: usul itirazları (görev, yetki, arabuluculuk, zamanaşımı), esasa ilişkin seçenekli savunmalar, deliller ve iç kontrol listesi.</w:t>
      </w:r>
    </w:p>
    <w:p>
      <w:pPr>
        <w:spacing w:after="120" w:before="0" w:line="300"/>
        <w:jc w:val="center"/>
      </w:pPr>
      <w:r>
        <w:rPr>
          <w:rFonts w:ascii="Calibri" w:cs="Calibri" w:eastAsia="Calibri" w:hAnsi="Calibri"/>
          <w:b/>
          <w:bCs/>
          <w:color w:val="3A4A61"/>
          <w:sz w:val="21"/>
          <w:szCs w:val="21"/>
        </w:rPr>
        <w:t xml:space="preserve">[İL] [__]. İŞ MAHKEMESİ HAKİMLİĞİ'NE</w:t>
      </w:r>
    </w:p>
    <w:p>
      <w:pPr>
        <w:spacing w:after="120" w:before="0" w:line="300"/>
        <w:jc w:val="center"/>
      </w:pPr>
      <w:r>
        <w:rPr>
          <w:rFonts w:ascii="Calibri" w:cs="Calibri" w:eastAsia="Calibri" w:hAnsi="Calibri"/>
          <w:color w:val="1D5888"/>
          <w:sz w:val="21"/>
          <w:szCs w:val="21"/>
          <w:shd w:fill="EAF1F8" w:color="auto" w:val="clear"/>
        </w:rPr>
        <w:t xml:space="preserve">[İş mahkemesi bulunmayan yerlerde: [İL]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ASLİYE HUKUK MAHKEMESİ HAKİMLİĞİ'NE (İş Mahkemesi sıfatıyla)]</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Dosya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[YYYY/NNN]</w:t>
            </w:r>
            <w:r>
              <w:rPr>
                <w:rFonts w:ascii="Calibri" w:cs="Calibri" w:eastAsia="Calibri" w:hAnsi="Calibri"/>
                <w:color w:val="3A4A61"/>
                <w:sz w:val="20"/>
                <w:szCs w:val="20"/>
              </w:rPr>
              <w:t xml:space="preserve"> Esas</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Davalı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[Adres]</w:t>
            </w:r>
            <w:r>
              <w:rPr>
                <w:rFonts w:ascii="Calibri" w:cs="Calibri" w:eastAsia="Calibri" w:hAnsi="Calibri"/>
                <w:color w:val="3A4A61"/>
                <w:sz w:val="20"/>
                <w:szCs w:val="20"/>
              </w:rPr>
              <w:t xml:space="preserve"> — Vergi No: </w:t>
            </w:r>
            <w:r>
              <w:rPr>
                <w:rFonts w:ascii="Calibri" w:cs="Calibri" w:eastAsia="Calibri" w:hAnsi="Calibri"/>
                <w:color w:val="1D5888"/>
                <w:sz w:val="20"/>
                <w:szCs w:val="20"/>
                <w:shd w:fill="EAF1F8" w:color="auto" w:val="clear"/>
              </w:rPr>
              <w:t xml:space="preserve">[Vergi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Vekili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Av. </w:t>
            </w:r>
            <w:r>
              <w:rPr>
                <w:rFonts w:ascii="Calibri" w:cs="Calibri" w:eastAsia="Calibri" w:hAnsi="Calibri"/>
                <w:color w:val="1D5888"/>
                <w:sz w:val="20"/>
                <w:szCs w:val="20"/>
                <w:shd w:fill="EAF1F8" w:color="auto" w:val="clear"/>
              </w:rPr>
              <w:t xml:space="preserve">[Ad Soyad]</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[Büro Adresi]</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[Baro / Sicil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Davacı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w:t>
            </w:r>
            <w:r>
              <w:rPr>
                <w:rFonts w:ascii="Calibri" w:cs="Calibri" w:eastAsia="Calibri" w:hAnsi="Calibri"/>
                <w:color w:val="3A4A61"/>
                <w:sz w:val="20"/>
                <w:szCs w:val="20"/>
              </w:rPr>
              <w:t xml:space="preserve"> — T.C. Kimlik No: </w:t>
            </w:r>
            <w:r>
              <w:rPr>
                <w:rFonts w:ascii="Calibri" w:cs="Calibri" w:eastAsia="Calibri" w:hAnsi="Calibri"/>
                <w:color w:val="1D5888"/>
                <w:sz w:val="20"/>
                <w:szCs w:val="20"/>
                <w:shd w:fill="EAF1F8" w:color="auto" w:val="clear"/>
              </w:rPr>
              <w:t xml:space="preserve">[T.C. Kimlik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Vekili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Av. </w:t>
            </w:r>
            <w:r>
              <w:rPr>
                <w:rFonts w:ascii="Calibri" w:cs="Calibri" w:eastAsia="Calibri" w:hAnsi="Calibri"/>
                <w:color w:val="1D5888"/>
                <w:sz w:val="20"/>
                <w:szCs w:val="20"/>
                <w:shd w:fill="EAF1F8" w:color="auto" w:val="clear"/>
              </w:rPr>
              <w:t xml:space="preserve">[Ad Soyad]</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 Dilekçesinin Tebliğ Tarihi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[GG.AA.YYYY]</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Davacının </w:t>
            </w:r>
            <w:r>
              <w:rPr>
                <w:rFonts w:ascii="Calibri" w:cs="Calibri" w:eastAsia="Calibri" w:hAnsi="Calibri"/>
                <w:color w:val="1D5888"/>
                <w:sz w:val="20"/>
                <w:szCs w:val="20"/>
                <w:shd w:fill="EAF1F8" w:color="auto" w:val="clear"/>
              </w:rPr>
              <w:t xml:space="preserve">[Tarih]</w:t>
            </w:r>
            <w:r>
              <w:rPr>
                <w:rFonts w:ascii="Calibri" w:cs="Calibri" w:eastAsia="Calibri" w:hAnsi="Calibri"/>
                <w:color w:val="3A4A61"/>
                <w:sz w:val="20"/>
                <w:szCs w:val="20"/>
              </w:rPr>
              <w:t xml:space="preserve"> tarihli dava dilekçesine karşı cevaplarımızın ve delillerimizin sunulmasıdır.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Açıklamalar</w:t>
      </w:r>
    </w:p>
    <w:p>
      <w:pPr>
        <w:spacing w:after="120" w:before="0" w:line="300"/>
        <w:jc w:val="both"/>
      </w:pPr>
      <w:r>
        <w:rPr>
          <w:rFonts w:ascii="Calibri" w:cs="Calibri" w:eastAsia="Calibri" w:hAnsi="Calibri"/>
          <w:b/>
          <w:bCs/>
          <w:color w:val="3A4A61"/>
          <w:sz w:val="21"/>
          <w:szCs w:val="21"/>
        </w:rPr>
        <w:t xml:space="preserve">I. ÖZET:</w:t>
      </w:r>
      <w:r>
        <w:rPr>
          <w:rFonts w:ascii="Calibri" w:cs="Calibri" w:eastAsia="Calibri" w:hAnsi="Calibri"/>
          <w:color w:val="3A4A61"/>
          <w:sz w:val="21"/>
          <w:szCs w:val="21"/>
        </w:rPr>
        <w:t xml:space="preserve"> Davacı, davalı şirkette </w:t>
      </w:r>
      <w:r>
        <w:rPr>
          <w:rFonts w:ascii="Calibri" w:cs="Calibri" w:eastAsia="Calibri" w:hAnsi="Calibri"/>
          <w:color w:val="1D5888"/>
          <w:sz w:val="21"/>
          <w:szCs w:val="21"/>
          <w:shd w:fill="EAF1F8" w:color="auto" w:val="clear"/>
        </w:rPr>
        <w:t xml:space="preserve">[İşe Giriş Tarihi]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[Çıkış Tarihi]</w:t>
      </w:r>
      <w:r>
        <w:rPr>
          <w:rFonts w:ascii="Calibri" w:cs="Calibri" w:eastAsia="Calibri" w:hAnsi="Calibri"/>
          <w:color w:val="3A4A61"/>
          <w:sz w:val="21"/>
          <w:szCs w:val="21"/>
        </w:rPr>
        <w:t xml:space="preserve"> tarihleri arasında çalıştığını, </w:t>
      </w:r>
      <w:r>
        <w:rPr>
          <w:rFonts w:ascii="Calibri" w:cs="Calibri" w:eastAsia="Calibri" w:hAnsi="Calibri"/>
          <w:color w:val="1D5888"/>
          <w:sz w:val="21"/>
          <w:szCs w:val="21"/>
          <w:shd w:fill="EAF1F8" w:color="auto" w:val="clear"/>
        </w:rPr>
        <w:t xml:space="preserve">[günlük çalışma iddiası]</w:t>
      </w:r>
      <w:r>
        <w:rPr>
          <w:rFonts w:ascii="Calibri" w:cs="Calibri" w:eastAsia="Calibri" w:hAnsi="Calibri"/>
          <w:color w:val="3A4A61"/>
          <w:sz w:val="21"/>
          <w:szCs w:val="21"/>
        </w:rPr>
        <w:t xml:space="preserve"> çalışmasına rağmen fazla çalışma ücretlerinin ödenmediğini ileri sürerek, </w:t>
      </w:r>
      <w:r>
        <w:rPr>
          <w:rFonts w:ascii="Calibri" w:cs="Calibri" w:eastAsia="Calibri" w:hAnsi="Calibri"/>
          <w:color w:val="1D5888"/>
          <w:sz w:val="21"/>
          <w:szCs w:val="21"/>
          <w:shd w:fill="EAF1F8" w:color="auto" w:val="clear"/>
        </w:rPr>
        <w:t xml:space="preserve">[belirsiz alacak / kısmi dava]</w:t>
      </w:r>
      <w:r>
        <w:rPr>
          <w:rFonts w:ascii="Calibri" w:cs="Calibri" w:eastAsia="Calibri" w:hAnsi="Calibri"/>
          <w:color w:val="3A4A61"/>
          <w:sz w:val="21"/>
          <w:szCs w:val="21"/>
        </w:rPr>
        <w:t xml:space="preserve"> olarak şimdilik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fazla çalışma ücretinin </w:t>
      </w:r>
      <w:r>
        <w:rPr>
          <w:rFonts w:ascii="Calibri" w:cs="Calibri" w:eastAsia="Calibri" w:hAnsi="Calibri"/>
          <w:color w:val="1D5888"/>
          <w:sz w:val="21"/>
          <w:szCs w:val="21"/>
          <w:shd w:fill="EAF1F8" w:color="auto" w:val="clear"/>
        </w:rPr>
        <w:t xml:space="preserve">[faiz türü]</w:t>
      </w:r>
      <w:r>
        <w:rPr>
          <w:rFonts w:ascii="Calibri" w:cs="Calibri" w:eastAsia="Calibri" w:hAnsi="Calibri"/>
          <w:color w:val="3A4A61"/>
          <w:sz w:val="21"/>
          <w:szCs w:val="21"/>
        </w:rPr>
        <w:t xml:space="preserve"> ile birlikte tahsilini talep etmiştir. Davacının iddiaları haksız ve dayanaksız olup aşağıda açıklanan nedenlerle kabul edilmemektedir.</w:t>
      </w:r>
    </w:p>
    <w:p>
      <w:pPr>
        <w:keepNext/>
        <w:pBdr>
          <w:bottom w:val="single" w:color="DCE4EE" w:sz="6" w:space="4"/>
        </w:pBdr>
        <w:spacing w:before="280" w:after="120"/>
      </w:pPr>
      <w:r>
        <w:rPr>
          <w:rFonts w:ascii="Calibri" w:cs="Calibri" w:eastAsia="Calibri" w:hAnsi="Calibri"/>
          <w:b/>
          <w:bCs/>
          <w:color w:val="0E2849"/>
          <w:sz w:val="25"/>
          <w:szCs w:val="25"/>
        </w:rPr>
        <w:t xml:space="preserve">II. Usule İlişkin İtirazlarımız</w:t>
      </w:r>
    </w:p>
    <w:p>
      <w:pPr>
        <w:spacing w:after="120" w:before="0" w:line="300"/>
        <w:jc w:val="both"/>
      </w:pPr>
      <w:r>
        <w:rPr>
          <w:rFonts w:ascii="Calibri" w:cs="Calibri" w:eastAsia="Calibri" w:hAnsi="Calibri"/>
          <w:color w:val="3A4A61"/>
          <w:sz w:val="21"/>
          <w:szCs w:val="21"/>
        </w:rPr>
        <w:t xml:space="preserve">(Dosyaya uygun olanları bırakınız, diğerlerini siliniz.)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Görev itirazı:</w:t>
      </w:r>
      <w:r>
        <w:rPr>
          <w:rFonts w:ascii="Calibri" w:cs="Calibri" w:eastAsia="Calibri" w:hAnsi="Calibri"/>
          <w:color w:val="3A4A61"/>
          <w:sz w:val="21"/>
          <w:szCs w:val="21"/>
        </w:rPr>
        <w:t xml:space="preserve"> Davacı ile davalı arasındaki ilişki bir iş / hizmet sözleşmesine dayanmamakta olup </w:t>
      </w:r>
      <w:r>
        <w:rPr>
          <w:rFonts w:ascii="Calibri" w:cs="Calibri" w:eastAsia="Calibri" w:hAnsi="Calibri"/>
          <w:color w:val="1D5888"/>
          <w:sz w:val="21"/>
          <w:szCs w:val="21"/>
          <w:shd w:fill="EAF1F8" w:color="auto" w:val="clear"/>
        </w:rPr>
        <w:t xml:space="preserve">[ortaklık / serbest meslek / vekâlet / eser sözleşmesi]</w:t>
      </w:r>
      <w:r>
        <w:rPr>
          <w:rFonts w:ascii="Calibri" w:cs="Calibri" w:eastAsia="Calibri" w:hAnsi="Calibri"/>
          <w:color w:val="3A4A61"/>
          <w:sz w:val="21"/>
          <w:szCs w:val="21"/>
        </w:rPr>
        <w:t xml:space="preserve"> niteliğindedir; bu nedenle 7036 sayılı Kanun md. 5 kapsamında iş mahkemesi görevli değildir. Görev dava şartı olup mahkemece re'sen de gözetilmesini talep ederiz.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Yetki itirazı:</w:t>
      </w:r>
      <w:r>
        <w:rPr>
          <w:rFonts w:ascii="Calibri" w:cs="Calibri" w:eastAsia="Calibri" w:hAnsi="Calibri"/>
          <w:color w:val="3A4A61"/>
          <w:sz w:val="21"/>
          <w:szCs w:val="21"/>
        </w:rPr>
        <w:t xml:space="preserve"> 7036 sayılı Kanun md. 6 uyarınca yetkili mahkeme, davalının davanın açıldığı tarihteki yerleşim yeri mahkemesi ile işin yapıldığı yer mahkemesidir. Davalı şirketin merkezi </w:t>
      </w:r>
      <w:r>
        <w:rPr>
          <w:rFonts w:ascii="Calibri" w:cs="Calibri" w:eastAsia="Calibri" w:hAnsi="Calibri"/>
          <w:color w:val="1D5888"/>
          <w:sz w:val="21"/>
          <w:szCs w:val="21"/>
          <w:shd w:fill="EAF1F8" w:color="auto" w:val="clear"/>
        </w:rPr>
        <w:t xml:space="preserve">[İl / İlçe]</w:t>
      </w:r>
      <w:r>
        <w:rPr>
          <w:rFonts w:ascii="Calibri" w:cs="Calibri" w:eastAsia="Calibri" w:hAnsi="Calibri"/>
          <w:color w:val="3A4A61"/>
          <w:sz w:val="21"/>
          <w:szCs w:val="21"/>
        </w:rPr>
        <w:t xml:space="preserve">, davacının çalıştığı işyeri </w:t>
      </w:r>
      <w:r>
        <w:rPr>
          <w:rFonts w:ascii="Calibri" w:cs="Calibri" w:eastAsia="Calibri" w:hAnsi="Calibri"/>
          <w:color w:val="1D5888"/>
          <w:sz w:val="21"/>
          <w:szCs w:val="21"/>
          <w:shd w:fill="EAF1F8" w:color="auto" w:val="clear"/>
        </w:rPr>
        <w:t xml:space="preserve">[İl / İlçe]</w:t>
      </w:r>
      <w:r>
        <w:rPr>
          <w:rFonts w:ascii="Calibri" w:cs="Calibri" w:eastAsia="Calibri" w:hAnsi="Calibri"/>
          <w:color w:val="3A4A61"/>
          <w:sz w:val="21"/>
          <w:szCs w:val="21"/>
        </w:rPr>
        <w:t xml:space="preserve"> olup davanın açıldığı mahkeme yetkili değildir. Dosyanın yetkili </w:t>
      </w: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İş Mahkemesi'ne gönderilmesini talep ederiz.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Arabuluculuk dava şartı:</w:t>
      </w:r>
      <w:r>
        <w:rPr>
          <w:rFonts w:ascii="Calibri" w:cs="Calibri" w:eastAsia="Calibri" w:hAnsi="Calibri"/>
          <w:color w:val="3A4A61"/>
          <w:sz w:val="21"/>
          <w:szCs w:val="21"/>
        </w:rPr>
        <w:t xml:space="preserve"> 7036 sayılı Kanun md. 3 uyarınca arabulucuya başvurulmuş olması dava şartıdır. [Davacı arabulucuya başvurmadan dava açmıştır / dava dilekçesine son tutanak eklenmemiştir / fazla çalışma alacağı arabuluculuk son tutanağında uyuşmazlık konusu olarak yer almamaktadır.] Davanın dava şartı yokluğundan usulden reddini talep ederiz.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Zamanaşımı def'i:</w:t>
      </w:r>
      <w:r>
        <w:rPr>
          <w:rFonts w:ascii="Calibri" w:cs="Calibri" w:eastAsia="Calibri" w:hAnsi="Calibri"/>
          <w:color w:val="3A4A61"/>
          <w:sz w:val="21"/>
          <w:szCs w:val="21"/>
        </w:rPr>
        <w:t xml:space="preserve"> Fazla çalışma ücreti bir ücret alacağı olup İş Kanunu md. 32 uyarınca beş yıllık zamanaşımına tabidir. Dava tarihinden (arabuluculukta geçen süre dikkate alınarak) geriye doğru beş yılı aşan döneme ilişkin talepler zamanaşımına uğramıştır. Zamanaşımı def'inde bulunuyoruz.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Husumet itirazı:</w:t>
      </w:r>
      <w:r>
        <w:rPr>
          <w:rFonts w:ascii="Calibri" w:cs="Calibri" w:eastAsia="Calibri" w:hAnsi="Calibri"/>
          <w:color w:val="3A4A61"/>
          <w:sz w:val="21"/>
          <w:szCs w:val="21"/>
        </w:rPr>
        <w:t xml:space="preserve"> Davacı, </w:t>
      </w:r>
      <w:r>
        <w:rPr>
          <w:rFonts w:ascii="Calibri" w:cs="Calibri" w:eastAsia="Calibri" w:hAnsi="Calibri"/>
          <w:color w:val="1D5888"/>
          <w:sz w:val="21"/>
          <w:szCs w:val="21"/>
          <w:shd w:fill="EAF1F8" w:color="auto" w:val="clear"/>
        </w:rPr>
        <w:t xml:space="preserve">[alt işveren / başka bir grup şirketi]</w:t>
      </w:r>
      <w:r>
        <w:rPr>
          <w:rFonts w:ascii="Calibri" w:cs="Calibri" w:eastAsia="Calibri" w:hAnsi="Calibri"/>
          <w:color w:val="3A4A61"/>
          <w:sz w:val="21"/>
          <w:szCs w:val="21"/>
        </w:rPr>
        <w:t xml:space="preserve"> olan </w:t>
      </w:r>
      <w:r>
        <w:rPr>
          <w:rFonts w:ascii="Calibri" w:cs="Calibri" w:eastAsia="Calibri" w:hAnsi="Calibri"/>
          <w:color w:val="1D5888"/>
          <w:sz w:val="21"/>
          <w:szCs w:val="21"/>
          <w:shd w:fill="EAF1F8" w:color="auto" w:val="clear"/>
        </w:rPr>
        <w:t xml:space="preserve">[Unvan]</w:t>
      </w:r>
      <w:r>
        <w:rPr>
          <w:rFonts w:ascii="Calibri" w:cs="Calibri" w:eastAsia="Calibri" w:hAnsi="Calibri"/>
          <w:color w:val="3A4A61"/>
          <w:sz w:val="21"/>
          <w:szCs w:val="21"/>
        </w:rPr>
        <w:t xml:space="preserve"> bünyesinde çalışmış olup davalı şirketin işçisi değildir; davalı yönünden husumet yokluğu nedeniyle davanın reddini talep ederiz.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Belirsiz alacak itirazı:</w:t>
      </w:r>
      <w:r>
        <w:rPr>
          <w:rFonts w:ascii="Calibri" w:cs="Calibri" w:eastAsia="Calibri" w:hAnsi="Calibri"/>
          <w:color w:val="3A4A61"/>
          <w:sz w:val="21"/>
          <w:szCs w:val="21"/>
        </w:rPr>
        <w:t xml:space="preserve"> Davacının alacağını, kendi elinde de bulunan bordro ve kayıtlarla belirleyebilecek durumda olduğu; davanın belirsiz alacak davası olarak açılmasının koşullarının bulunmadığı kanaatindeyiz. Mahkemece değerlendirilmesini talep ederiz.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Derdestlik / kesin hüküm:</w:t>
      </w:r>
      <w:r>
        <w:rPr>
          <w:rFonts w:ascii="Calibri" w:cs="Calibri" w:eastAsia="Calibri" w:hAnsi="Calibri"/>
          <w:color w:val="3A4A61"/>
          <w:sz w:val="21"/>
          <w:szCs w:val="21"/>
        </w:rPr>
        <w:t xml:space="preserve"> Aynı alacak için </w:t>
      </w:r>
      <w:r>
        <w:rPr>
          <w:rFonts w:ascii="Calibri" w:cs="Calibri" w:eastAsia="Calibri" w:hAnsi="Calibri"/>
          <w:color w:val="1D5888"/>
          <w:sz w:val="21"/>
          <w:szCs w:val="21"/>
          <w:shd w:fill="EAF1F8" w:color="auto" w:val="clear"/>
        </w:rPr>
        <w:t xml:space="preserve">[Mahkeme]</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[Esas No]</w:t>
      </w:r>
      <w:r>
        <w:rPr>
          <w:rFonts w:ascii="Calibri" w:cs="Calibri" w:eastAsia="Calibri" w:hAnsi="Calibri"/>
          <w:color w:val="3A4A61"/>
          <w:sz w:val="21"/>
          <w:szCs w:val="21"/>
        </w:rPr>
        <w:t xml:space="preserve"> sayılı dosyada </w:t>
      </w:r>
      <w:r>
        <w:rPr>
          <w:rFonts w:ascii="Calibri" w:cs="Calibri" w:eastAsia="Calibri" w:hAnsi="Calibri"/>
          <w:color w:val="1D5888"/>
          <w:sz w:val="21"/>
          <w:szCs w:val="21"/>
          <w:shd w:fill="EAF1F8" w:color="auto" w:val="clear"/>
        </w:rPr>
        <w:t xml:space="preserve">[görülmekte olan / kesinleşmiş]</w:t>
      </w:r>
      <w:r>
        <w:rPr>
          <w:rFonts w:ascii="Calibri" w:cs="Calibri" w:eastAsia="Calibri" w:hAnsi="Calibri"/>
          <w:color w:val="3A4A61"/>
          <w:sz w:val="21"/>
          <w:szCs w:val="21"/>
        </w:rPr>
        <w:t xml:space="preserve"> dava bulunmaktadır.</w:t>
      </w:r>
    </w:p>
    <w:p>
      <w:pPr>
        <w:keepNext/>
        <w:pBdr>
          <w:bottom w:val="single" w:color="DCE4EE" w:sz="6" w:space="4"/>
        </w:pBdr>
        <w:spacing w:before="280" w:after="120"/>
      </w:pPr>
      <w:r>
        <w:rPr>
          <w:rFonts w:ascii="Calibri" w:cs="Calibri" w:eastAsia="Calibri" w:hAnsi="Calibri"/>
          <w:b/>
          <w:bCs/>
          <w:color w:val="0E2849"/>
          <w:sz w:val="25"/>
          <w:szCs w:val="25"/>
        </w:rPr>
        <w:t xml:space="preserve">III. Esasa İlişkin Cevaplarımız</w:t>
      </w:r>
    </w:p>
    <w:p>
      <w:pPr>
        <w:spacing w:after="120" w:before="0" w:line="300"/>
        <w:jc w:val="both"/>
      </w:pPr>
      <w:r>
        <w:rPr>
          <w:rFonts w:ascii="Calibri" w:cs="Calibri" w:eastAsia="Calibri" w:hAnsi="Calibri"/>
          <w:b/>
          <w:bCs/>
          <w:color w:val="3A4A61"/>
          <w:sz w:val="21"/>
          <w:szCs w:val="21"/>
        </w:rPr>
        <w:t xml:space="preserve">1. Çalışma düzeni:</w:t>
      </w:r>
      <w:r>
        <w:rPr>
          <w:rFonts w:ascii="Calibri" w:cs="Calibri" w:eastAsia="Calibri" w:hAnsi="Calibri"/>
          <w:color w:val="3A4A61"/>
          <w:sz w:val="21"/>
          <w:szCs w:val="21"/>
        </w:rPr>
        <w:t xml:space="preserve"> Davacı, </w:t>
      </w:r>
      <w:r>
        <w:rPr>
          <w:rFonts w:ascii="Calibri" w:cs="Calibri" w:eastAsia="Calibri" w:hAnsi="Calibri"/>
          <w:color w:val="1D5888"/>
          <w:sz w:val="21"/>
          <w:szCs w:val="21"/>
          <w:shd w:fill="EAF1F8" w:color="auto" w:val="clear"/>
        </w:rPr>
        <w:t xml:space="preserve">[Görev]</w:t>
      </w:r>
      <w:r>
        <w:rPr>
          <w:rFonts w:ascii="Calibri" w:cs="Calibri" w:eastAsia="Calibri" w:hAnsi="Calibri"/>
          <w:color w:val="3A4A61"/>
          <w:sz w:val="21"/>
          <w:szCs w:val="21"/>
        </w:rPr>
        <w:t xml:space="preserve"> olarak </w:t>
      </w:r>
      <w:r>
        <w:rPr>
          <w:rFonts w:ascii="Calibri" w:cs="Calibri" w:eastAsia="Calibri" w:hAnsi="Calibri"/>
          <w:color w:val="1D5888"/>
          <w:sz w:val="21"/>
          <w:szCs w:val="21"/>
          <w:shd w:fill="EAF1F8" w:color="auto" w:val="clear"/>
        </w:rPr>
        <w:t xml:space="preserve">[Çalışma Saatleri]</w:t>
      </w:r>
      <w:r>
        <w:rPr>
          <w:rFonts w:ascii="Calibri" w:cs="Calibri" w:eastAsia="Calibri" w:hAnsi="Calibri"/>
          <w:color w:val="3A4A61"/>
          <w:sz w:val="21"/>
          <w:szCs w:val="21"/>
        </w:rPr>
        <w:t xml:space="preserve"> saatleri arasında,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dakika ara dinlenme ile haftada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 çalışmıştır. Çalışma süreleri personel devam kontrol sistemi (PDKS) ve aylık puantajlarla kayıt altına alınmıştır. Davacının dava dilekçesinde ileri sürdüğü çalışma saatleri gerçeği yansıtmamaktadır.</w:t>
      </w:r>
    </w:p>
    <w:p>
      <w:pPr>
        <w:spacing w:after="120" w:before="0" w:line="300"/>
        <w:jc w:val="both"/>
      </w:pPr>
      <w:r>
        <w:rPr>
          <w:rFonts w:ascii="Calibri" w:cs="Calibri" w:eastAsia="Calibri" w:hAnsi="Calibri"/>
          <w:b/>
          <w:bCs/>
          <w:color w:val="3A4A61"/>
          <w:sz w:val="21"/>
          <w:szCs w:val="21"/>
        </w:rPr>
        <w:t xml:space="preserve">2. Savunmalarımız</w:t>
      </w:r>
      <w:r>
        <w:rPr>
          <w:rFonts w:ascii="Calibri" w:cs="Calibri" w:eastAsia="Calibri" w:hAnsi="Calibri"/>
          <w:color w:val="3A4A61"/>
          <w:sz w:val="21"/>
          <w:szCs w:val="21"/>
        </w:rPr>
        <w:t xml:space="preserve"> (dosyaya uygun olanları bırakınız):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İspat yükü:</w:t>
      </w:r>
      <w:r>
        <w:rPr>
          <w:rFonts w:ascii="Calibri" w:cs="Calibri" w:eastAsia="Calibri" w:hAnsi="Calibri"/>
          <w:color w:val="3A4A61"/>
          <w:sz w:val="21"/>
          <w:szCs w:val="21"/>
        </w:rPr>
        <w:t xml:space="preserve"> Yerleşik yargı uygulamasına göre fazla çalışma yaptığını ispat yükü davacı işçidedir. Davacı, iddia ettiği çalışma saatlerini somut ve inandırıcı delillerle ispat etmek durumundadır.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Ödenmiş fazla çalışmalar ve imzalı bordrolar:</w:t>
      </w:r>
      <w:r>
        <w:rPr>
          <w:rFonts w:ascii="Calibri" w:cs="Calibri" w:eastAsia="Calibri" w:hAnsi="Calibri"/>
          <w:color w:val="3A4A61"/>
          <w:sz w:val="21"/>
          <w:szCs w:val="21"/>
        </w:rPr>
        <w:t xml:space="preserve"> Davacının yaptığı fazla çalışmalar, </w:t>
      </w:r>
      <w:r>
        <w:rPr>
          <w:rFonts w:ascii="Calibri" w:cs="Calibri" w:eastAsia="Calibri" w:hAnsi="Calibri"/>
          <w:color w:val="1D5888"/>
          <w:sz w:val="21"/>
          <w:szCs w:val="21"/>
          <w:shd w:fill="EAF1F8" w:color="auto" w:val="clear"/>
        </w:rPr>
        <w:t xml:space="preserve">[Dönemler]</w:t>
      </w:r>
      <w:r>
        <w:rPr>
          <w:rFonts w:ascii="Calibri" w:cs="Calibri" w:eastAsia="Calibri" w:hAnsi="Calibri"/>
          <w:color w:val="3A4A61"/>
          <w:sz w:val="21"/>
          <w:szCs w:val="21"/>
        </w:rPr>
        <w:t xml:space="preserve"> dönemlerine ait ücret bordrolarında ayrı kalem olarak tahakkuk ettirilmiş ve banka aracılığıyla ödenmiştir. Bordrolar davacı tarafından ihtirazi kayıt konulmaksızın imzalanmıştır. Bu dönemler için aksinin ancak eşdeğer yazılı delille ispatı gerektiği kanaatindeyiz.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PDKS kayıtları:</w:t>
      </w:r>
      <w:r>
        <w:rPr>
          <w:rFonts w:ascii="Calibri" w:cs="Calibri" w:eastAsia="Calibri" w:hAnsi="Calibri"/>
          <w:color w:val="3A4A61"/>
          <w:sz w:val="21"/>
          <w:szCs w:val="21"/>
        </w:rPr>
        <w:t xml:space="preserve"> PDKS kayıtları, ara dinlenmeler düşüldükten sonra davacının haftalık çalışma süresinin </w:t>
      </w:r>
      <w:r>
        <w:rPr>
          <w:rFonts w:ascii="Calibri" w:cs="Calibri" w:eastAsia="Calibri" w:hAnsi="Calibri"/>
          <w:color w:val="1D5888"/>
          <w:sz w:val="21"/>
          <w:szCs w:val="21"/>
          <w:shd w:fill="EAF1F8" w:color="auto" w:val="clear"/>
        </w:rPr>
        <w:t xml:space="preserve">[dönemlerde]</w:t>
      </w:r>
      <w:r>
        <w:rPr>
          <w:rFonts w:ascii="Calibri" w:cs="Calibri" w:eastAsia="Calibri" w:hAnsi="Calibri"/>
          <w:color w:val="3A4A61"/>
          <w:sz w:val="21"/>
          <w:szCs w:val="21"/>
        </w:rPr>
        <w:t xml:space="preserve"> 45 saati aşmadığını göstermektedir (İş Kanunu md. 41, md. 68).</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Denkleştirme:</w:t>
      </w:r>
      <w:r>
        <w:rPr>
          <w:rFonts w:ascii="Calibri" w:cs="Calibri" w:eastAsia="Calibri" w:hAnsi="Calibri"/>
          <w:color w:val="3A4A61"/>
          <w:sz w:val="21"/>
          <w:szCs w:val="21"/>
        </w:rPr>
        <w:t xml:space="preserve"> İşyerinde yazılı denkleştirme uygulanmış olup </w:t>
      </w:r>
      <w:r>
        <w:rPr>
          <w:rFonts w:ascii="Calibri" w:cs="Calibri" w:eastAsia="Calibri" w:hAnsi="Calibri"/>
          <w:color w:val="1D5888"/>
          <w:sz w:val="21"/>
          <w:szCs w:val="21"/>
          <w:shd w:fill="EAF1F8" w:color="auto" w:val="clear"/>
        </w:rPr>
        <w:t xml:space="preserve">[Denkleştirme Dönemi]</w:t>
      </w:r>
      <w:r>
        <w:rPr>
          <w:rFonts w:ascii="Calibri" w:cs="Calibri" w:eastAsia="Calibri" w:hAnsi="Calibri"/>
          <w:color w:val="3A4A61"/>
          <w:sz w:val="21"/>
          <w:szCs w:val="21"/>
        </w:rPr>
        <w:t xml:space="preserve"> süresince ortalama haftalık çalışma süresi aşılmamıştır (İş Kanunu md. 63).</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Serbest zaman:</w:t>
      </w:r>
      <w:r>
        <w:rPr>
          <w:rFonts w:ascii="Calibri" w:cs="Calibri" w:eastAsia="Calibri" w:hAnsi="Calibri"/>
          <w:color w:val="3A4A61"/>
          <w:sz w:val="21"/>
          <w:szCs w:val="21"/>
        </w:rPr>
        <w:t xml:space="preserve"> Davacının talebi üzerine fazla çalışmalarının karşılığı serbest zaman olarak kullandırılmıştır (</w:t>
      </w:r>
      <w:r>
        <w:rPr>
          <w:rFonts w:ascii="Calibri" w:cs="Calibri" w:eastAsia="Calibri" w:hAnsi="Calibri"/>
          <w:color w:val="1D5888"/>
          <w:sz w:val="21"/>
          <w:szCs w:val="21"/>
          <w:shd w:fill="EAF1F8" w:color="auto" w:val="clear"/>
        </w:rPr>
        <w:t xml:space="preserve">[Tarihler]</w:t>
      </w:r>
      <w:r>
        <w:rPr>
          <w:rFonts w:ascii="Calibri" w:cs="Calibri" w:eastAsia="Calibri" w:hAnsi="Calibri"/>
          <w:color w:val="3A4A61"/>
          <w:sz w:val="21"/>
          <w:szCs w:val="21"/>
        </w:rPr>
        <w:t xml:space="preserve">; İş Kanunu md. 41).</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Ücrete dahil hükmü:</w:t>
      </w:r>
      <w:r>
        <w:rPr>
          <w:rFonts w:ascii="Calibri" w:cs="Calibri" w:eastAsia="Calibri" w:hAnsi="Calibri"/>
          <w:color w:val="3A4A61"/>
          <w:sz w:val="21"/>
          <w:szCs w:val="21"/>
        </w:rPr>
        <w:t xml:space="preserve"> İş sözleşmesinin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maddesi uyarınca yıllık 270 saate kadar fazla çalışma ücreti aylık ücrete dahildir. Kayıtlara göre bu sınır aşılmamıştır.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Üst düzey yönetici:</w:t>
      </w:r>
      <w:r>
        <w:rPr>
          <w:rFonts w:ascii="Calibri" w:cs="Calibri" w:eastAsia="Calibri" w:hAnsi="Calibri"/>
          <w:color w:val="3A4A61"/>
          <w:sz w:val="21"/>
          <w:szCs w:val="21"/>
        </w:rPr>
        <w:t xml:space="preserve"> Davacı, </w:t>
      </w:r>
      <w:r>
        <w:rPr>
          <w:rFonts w:ascii="Calibri" w:cs="Calibri" w:eastAsia="Calibri" w:hAnsi="Calibri"/>
          <w:color w:val="1D5888"/>
          <w:sz w:val="21"/>
          <w:szCs w:val="21"/>
          <w:shd w:fill="EAF1F8" w:color="auto" w:val="clear"/>
        </w:rPr>
        <w:t xml:space="preserve">[Unvan]</w:t>
      </w:r>
      <w:r>
        <w:rPr>
          <w:rFonts w:ascii="Calibri" w:cs="Calibri" w:eastAsia="Calibri" w:hAnsi="Calibri"/>
          <w:color w:val="3A4A61"/>
          <w:sz w:val="21"/>
          <w:szCs w:val="21"/>
        </w:rPr>
        <w:t xml:space="preserve"> olarak işyerinin üst düzey yöneticisi konumunda olup çalışma saatlerini kendisi belirlemekte ve buna göre yüksek ücret almaktadır. Bu nitelikteki çalışanlar bakımından yargı uygulamasındaki yaklaşımın dikkate alınmasını talep ederiz.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Fiilen çalışılmayan günler:</w:t>
      </w:r>
      <w:r>
        <w:rPr>
          <w:rFonts w:ascii="Calibri" w:cs="Calibri" w:eastAsia="Calibri" w:hAnsi="Calibri"/>
          <w:color w:val="3A4A61"/>
          <w:sz w:val="21"/>
          <w:szCs w:val="21"/>
        </w:rPr>
        <w:t xml:space="preserve"> Davacının yıllık izin, rapor, mazeret izni ve resmî tatil günleri hesaplamada dikkate alınmalıdır; bu günlerde fazla çalışma yapılması mümkün değildir.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İbraname / ödeme belgesi:</w:t>
      </w:r>
      <w:r>
        <w:rPr>
          <w:rFonts w:ascii="Calibri" w:cs="Calibri" w:eastAsia="Calibri" w:hAnsi="Calibri"/>
          <w:color w:val="3A4A61"/>
          <w:sz w:val="21"/>
          <w:szCs w:val="21"/>
        </w:rPr>
        <w:t xml:space="preserve"> Davacı,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ve TBK md. 420'deki koşulları taşıyan ibraname / ödeme belgesi ile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ödemeyi almıştır; bu tutarın mahsubu gerekir.</w:t>
      </w:r>
    </w:p>
    <w:p>
      <w:pPr>
        <w:spacing w:after="120" w:before="0" w:line="300"/>
        <w:jc w:val="both"/>
      </w:pPr>
      <w:r>
        <w:rPr>
          <w:rFonts w:ascii="Calibri" w:cs="Calibri" w:eastAsia="Calibri" w:hAnsi="Calibri"/>
          <w:b/>
          <w:bCs/>
          <w:color w:val="3A4A61"/>
          <w:sz w:val="21"/>
          <w:szCs w:val="21"/>
        </w:rPr>
        <w:t xml:space="preserve">3. Tanık beyanları ve hesaplama:</w:t>
      </w:r>
      <w:r>
        <w:rPr>
          <w:rFonts w:ascii="Calibri" w:cs="Calibri" w:eastAsia="Calibri" w:hAnsi="Calibri"/>
          <w:color w:val="3A4A61"/>
          <w:sz w:val="21"/>
          <w:szCs w:val="21"/>
        </w:rPr>
        <w:t xml:space="preserve"> Davacı tanıklarının [davalı ile husumetli olduğu / aynı taleple dava açtığı / davacıyla aynı dönemde çalışmadığı] dikkate alınmalıdır. Fazla çalışmanın tanık beyanıyla belirlenmesi halinde, yargı uygulamasında kabul edildiği şekilde hakkaniyet indirimi yapılmasını; hesaplamanın davacının fiilen çalıştığı dönem ve ücret üzerinden, brüt / net ayrımı gözetilerek yapılmasını talep ederiz.</w:t>
      </w:r>
    </w:p>
    <w:p>
      <w:pPr>
        <w:spacing w:after="120" w:before="0" w:line="300"/>
        <w:jc w:val="both"/>
      </w:pPr>
      <w:r>
        <w:rPr>
          <w:rFonts w:ascii="Calibri" w:cs="Calibri" w:eastAsia="Calibri" w:hAnsi="Calibri"/>
          <w:b/>
          <w:bCs/>
          <w:color w:val="3A4A61"/>
          <w:sz w:val="21"/>
          <w:szCs w:val="21"/>
        </w:rPr>
        <w:t xml:space="preserve">4. Faiz:</w:t>
      </w:r>
      <w:r>
        <w:rPr>
          <w:rFonts w:ascii="Calibri" w:cs="Calibri" w:eastAsia="Calibri" w:hAnsi="Calibri"/>
          <w:color w:val="3A4A61"/>
          <w:sz w:val="21"/>
          <w:szCs w:val="21"/>
        </w:rPr>
        <w:t xml:space="preserve"> Faizin türü ve başlangıç tarihi bakımından davacının talebini kabul etmiyoruz. Davalının temerrüde düşürüldüğü tarih </w:t>
      </w:r>
      <w:r>
        <w:rPr>
          <w:rFonts w:ascii="Calibri" w:cs="Calibri" w:eastAsia="Calibri" w:hAnsi="Calibri"/>
          <w:color w:val="1D5888"/>
          <w:sz w:val="21"/>
          <w:szCs w:val="21"/>
          <w:shd w:fill="EAF1F8" w:color="auto" w:val="clear"/>
        </w:rPr>
        <w:t xml:space="preserve">[ihtarname tebliğ tarihi / dava tarihi / ıslah tarihi]</w:t>
      </w:r>
      <w:r>
        <w:rPr>
          <w:rFonts w:ascii="Calibri" w:cs="Calibri" w:eastAsia="Calibri" w:hAnsi="Calibri"/>
          <w:color w:val="3A4A61"/>
          <w:sz w:val="21"/>
          <w:szCs w:val="21"/>
        </w:rPr>
        <w:t xml:space="preserve"> esas alınmalıdır.</w:t>
      </w:r>
    </w:p>
    <w:p>
      <w:pPr>
        <w:keepNext/>
        <w:pBdr>
          <w:bottom w:val="single" w:color="DCE4EE" w:sz="6" w:space="4"/>
        </w:pBdr>
        <w:spacing w:before="280" w:after="120"/>
      </w:pPr>
      <w:r>
        <w:rPr>
          <w:rFonts w:ascii="Calibri" w:cs="Calibri" w:eastAsia="Calibri" w:hAnsi="Calibri"/>
          <w:b/>
          <w:bCs/>
          <w:color w:val="0E2849"/>
          <w:sz w:val="25"/>
          <w:szCs w:val="25"/>
        </w:rPr>
        <w:t xml:space="preserve">IV. Hukuki Sebepler</w:t>
      </w:r>
    </w:p>
    <w:p>
      <w:pPr>
        <w:spacing w:after="120" w:before="0" w:line="300"/>
        <w:jc w:val="both"/>
      </w:pPr>
      <w:r>
        <w:rPr>
          <w:rFonts w:ascii="Calibri" w:cs="Calibri" w:eastAsia="Calibri" w:hAnsi="Calibri"/>
          <w:color w:val="3A4A61"/>
          <w:sz w:val="21"/>
          <w:szCs w:val="21"/>
        </w:rPr>
        <w:t xml:space="preserve">4857 sayılı İş Kanunu md. 32, 41, 63, 68; 7036 sayılı İş Mahkemeleri Kanunu md. 3, 5, 6, 7; 6098 sayılı Türk Borçlar Kanunu md. 117, 147, 154, 420; 6100 sayılı Hukuk Muhakemeleri Kanunu ve ilgili mevzuat.</w:t>
      </w:r>
    </w:p>
    <w:p>
      <w:pPr>
        <w:keepNext/>
        <w:pBdr>
          <w:bottom w:val="single" w:color="DCE4EE" w:sz="6" w:space="4"/>
        </w:pBdr>
        <w:spacing w:before="280" w:after="120"/>
      </w:pPr>
      <w:r>
        <w:rPr>
          <w:rFonts w:ascii="Calibri" w:cs="Calibri" w:eastAsia="Calibri" w:hAnsi="Calibri"/>
          <w:b/>
          <w:bCs/>
          <w:color w:val="0E2849"/>
          <w:sz w:val="25"/>
          <w:szCs w:val="25"/>
        </w:rPr>
        <w:t xml:space="preserve">V. Deliller</w:t>
      </w:r>
    </w:p>
    <w:p>
      <w:pPr>
        <w:pStyle w:val="ListParagraph"/>
        <w:numPr>
          <w:ilvl w:val="0"/>
          <w:numId w:val="2"/>
        </w:numPr>
        <w:spacing w:after="80" w:line="290"/>
      </w:pPr>
      <w:r>
        <w:rPr>
          <w:rFonts w:ascii="Calibri" w:cs="Calibri" w:eastAsia="Calibri" w:hAnsi="Calibri"/>
          <w:color w:val="3A4A61"/>
          <w:sz w:val="21"/>
          <w:szCs w:val="21"/>
        </w:rPr>
        <w:t xml:space="preserve">Davacının özlük dosyası ve iş sözleşmesi</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[Dönem]</w:t>
      </w:r>
      <w:r>
        <w:rPr>
          <w:rFonts w:ascii="Calibri" w:cs="Calibri" w:eastAsia="Calibri" w:hAnsi="Calibri"/>
          <w:color w:val="3A4A61"/>
          <w:sz w:val="21"/>
          <w:szCs w:val="21"/>
        </w:rPr>
        <w:t xml:space="preserve"> dönemine ait imzalı ücret bordroları ve banka ödeme kayıtları</w:t>
      </w:r>
    </w:p>
    <w:p>
      <w:pPr>
        <w:pStyle w:val="ListParagraph"/>
        <w:numPr>
          <w:ilvl w:val="0"/>
          <w:numId w:val="2"/>
        </w:numPr>
        <w:spacing w:after="80" w:line="290"/>
      </w:pPr>
      <w:r>
        <w:rPr>
          <w:rFonts w:ascii="Calibri" w:cs="Calibri" w:eastAsia="Calibri" w:hAnsi="Calibri"/>
          <w:color w:val="3A4A61"/>
          <w:sz w:val="21"/>
          <w:szCs w:val="21"/>
        </w:rPr>
        <w:t xml:space="preserve">PDKS kayıtları, aylık puantajlar ve vardiya çizelgeleri</w:t>
      </w:r>
    </w:p>
    <w:p>
      <w:pPr>
        <w:pStyle w:val="ListParagraph"/>
        <w:numPr>
          <w:ilvl w:val="0"/>
          <w:numId w:val="2"/>
        </w:numPr>
        <w:spacing w:after="80" w:line="290"/>
      </w:pPr>
      <w:r>
        <w:rPr>
          <w:rFonts w:ascii="Calibri" w:cs="Calibri" w:eastAsia="Calibri" w:hAnsi="Calibri"/>
          <w:color w:val="3A4A61"/>
          <w:sz w:val="21"/>
          <w:szCs w:val="21"/>
        </w:rPr>
        <w:t xml:space="preserve">Yıllık fazla çalışma onay belgesi ve fazla çalışma talep / onay formları</w:t>
      </w:r>
    </w:p>
    <w:p>
      <w:pPr>
        <w:pStyle w:val="ListParagraph"/>
        <w:numPr>
          <w:ilvl w:val="0"/>
          <w:numId w:val="2"/>
        </w:numPr>
        <w:spacing w:after="80" w:line="290"/>
      </w:pPr>
      <w:r>
        <w:rPr>
          <w:rFonts w:ascii="Calibri" w:cs="Calibri" w:eastAsia="Calibri" w:hAnsi="Calibri"/>
          <w:color w:val="3A4A61"/>
          <w:sz w:val="21"/>
          <w:szCs w:val="21"/>
        </w:rPr>
        <w:t xml:space="preserve">Denkleştirme anlaşması ve dönem hesapları (varsa)</w:t>
      </w:r>
    </w:p>
    <w:p>
      <w:pPr>
        <w:pStyle w:val="ListParagraph"/>
        <w:numPr>
          <w:ilvl w:val="0"/>
          <w:numId w:val="2"/>
        </w:numPr>
        <w:spacing w:after="80" w:line="290"/>
      </w:pPr>
      <w:r>
        <w:rPr>
          <w:rFonts w:ascii="Calibri" w:cs="Calibri" w:eastAsia="Calibri" w:hAnsi="Calibri"/>
          <w:color w:val="3A4A61"/>
          <w:sz w:val="21"/>
          <w:szCs w:val="21"/>
        </w:rPr>
        <w:t xml:space="preserve">Serbest zaman kullanım kayıtları ve izin defteri</w:t>
      </w:r>
    </w:p>
    <w:p>
      <w:pPr>
        <w:pStyle w:val="ListParagraph"/>
        <w:numPr>
          <w:ilvl w:val="0"/>
          <w:numId w:val="2"/>
        </w:numPr>
        <w:spacing w:after="80" w:line="290"/>
      </w:pPr>
      <w:r>
        <w:rPr>
          <w:rFonts w:ascii="Calibri" w:cs="Calibri" w:eastAsia="Calibri" w:hAnsi="Calibri"/>
          <w:color w:val="3A4A61"/>
          <w:sz w:val="21"/>
          <w:szCs w:val="21"/>
        </w:rPr>
        <w:t xml:space="preserve">SGK hizmet dökümü ve işyeri kayıtları</w:t>
      </w:r>
    </w:p>
    <w:p>
      <w:pPr>
        <w:pStyle w:val="ListParagraph"/>
        <w:numPr>
          <w:ilvl w:val="0"/>
          <w:numId w:val="2"/>
        </w:numPr>
        <w:spacing w:after="80" w:line="290"/>
      </w:pPr>
      <w:r>
        <w:rPr>
          <w:rFonts w:ascii="Calibri" w:cs="Calibri" w:eastAsia="Calibri" w:hAnsi="Calibri"/>
          <w:color w:val="3A4A61"/>
          <w:sz w:val="21"/>
          <w:szCs w:val="21"/>
        </w:rPr>
        <w:t xml:space="preserve">Arabuluculuk son tutanağı ve taraflar arasındaki ihtarname / yazışmalar</w:t>
      </w:r>
    </w:p>
    <w:p>
      <w:pPr>
        <w:pStyle w:val="ListParagraph"/>
        <w:numPr>
          <w:ilvl w:val="0"/>
          <w:numId w:val="2"/>
        </w:numPr>
        <w:spacing w:after="80" w:line="290"/>
      </w:pPr>
      <w:r>
        <w:rPr>
          <w:rFonts w:ascii="Calibri" w:cs="Calibri" w:eastAsia="Calibri" w:hAnsi="Calibri"/>
          <w:color w:val="3A4A61"/>
          <w:sz w:val="21"/>
          <w:szCs w:val="21"/>
        </w:rPr>
        <w:t xml:space="preserve">Tanık beyanları (isim ve adresleri ayrıca bildirilecektir)</w:t>
      </w:r>
    </w:p>
    <w:p>
      <w:pPr>
        <w:pStyle w:val="ListParagraph"/>
        <w:numPr>
          <w:ilvl w:val="0"/>
          <w:numId w:val="2"/>
        </w:numPr>
        <w:spacing w:after="80" w:line="290"/>
      </w:pPr>
      <w:r>
        <w:rPr>
          <w:rFonts w:ascii="Calibri" w:cs="Calibri" w:eastAsia="Calibri" w:hAnsi="Calibri"/>
          <w:color w:val="3A4A61"/>
          <w:sz w:val="21"/>
          <w:szCs w:val="21"/>
        </w:rPr>
        <w:t xml:space="preserve">Bilirkişi incelemesi, keşif, yemin ve her türlü yasal delil</w:t>
      </w:r>
    </w:p>
    <w:p>
      <w:pPr>
        <w:spacing w:after="120" w:before="0" w:line="300"/>
        <w:jc w:val="both"/>
      </w:pPr>
      <w:r>
        <w:rPr>
          <w:rFonts w:ascii="Calibri" w:cs="Calibri" w:eastAsia="Calibri" w:hAnsi="Calibri"/>
          <w:color w:val="3A4A61"/>
          <w:sz w:val="21"/>
          <w:szCs w:val="21"/>
        </w:rPr>
        <w:t xml:space="preserve">Karşı tarafın delillerine karşı delil sunma ve delil listemizi usulüne uygun şekilde tamamlama hakkımız saklıdır.</w:t>
      </w:r>
    </w:p>
    <w:p>
      <w:pPr>
        <w:keepNext/>
        <w:pBdr>
          <w:bottom w:val="single" w:color="DCE4EE" w:sz="6" w:space="4"/>
        </w:pBdr>
        <w:spacing w:before="280" w:after="120"/>
      </w:pPr>
      <w:r>
        <w:rPr>
          <w:rFonts w:ascii="Calibri" w:cs="Calibri" w:eastAsia="Calibri" w:hAnsi="Calibri"/>
          <w:b/>
          <w:bCs/>
          <w:color w:val="0E2849"/>
          <w:sz w:val="25"/>
          <w:szCs w:val="25"/>
        </w:rPr>
        <w:t xml:space="preserve">VI. Sonuç ve İstem</w:t>
      </w:r>
    </w:p>
    <w:p>
      <w:pPr>
        <w:spacing w:after="120" w:before="0" w:line="300"/>
        <w:jc w:val="both"/>
      </w:pPr>
      <w:r>
        <w:rPr>
          <w:rFonts w:ascii="Calibri" w:cs="Calibri" w:eastAsia="Calibri" w:hAnsi="Calibri"/>
          <w:color w:val="3A4A61"/>
          <w:sz w:val="21"/>
          <w:szCs w:val="21"/>
        </w:rPr>
        <w:t xml:space="preserve">Yukarıda açıklanan ve re'sen gözetilecek nedenlerle; usule ilişkin itirazlarımızın kabulü ile davanın usulden reddine, bu talebimiz kabul görmediği takdirde davanın esastan reddine, yargılama giderleri ile vekâlet ücretinin davacı tarafa yükletilmesine karar verilmesini saygılarımızla vekâleten arz ve talep ederiz. </w:t>
      </w:r>
      <w:r>
        <w:rPr>
          <w:rFonts w:ascii="Calibri" w:cs="Calibri" w:eastAsia="Calibri" w:hAnsi="Calibri"/>
          <w:color w:val="1D5888"/>
          <w:sz w:val="21"/>
          <w:szCs w:val="21"/>
          <w:shd w:fill="EAF1F8" w:color="auto" w:val="clear"/>
        </w:rPr>
        <w:t xml:space="preserve">[Tarih]</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Davalı Vekili Av. [Ad Soyad] (e-imza)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Ekler: 1) Vekâletname  2) Delil listesi ve belgeler  3) </w:t>
      </w:r>
      <w:r>
        <w:rPr>
          <w:rFonts w:ascii="Calibri" w:cs="Calibri" w:eastAsia="Calibri" w:hAnsi="Calibri"/>
          <w:color w:val="1D5888"/>
          <w:sz w:val="21"/>
          <w:szCs w:val="21"/>
          <w:shd w:fill="EAF1F8" w:color="auto" w:val="clear"/>
        </w:rPr>
        <w:t xml:space="preserve">[Diğer]</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Avukatınızla Birlikte Uyarlayın</w:t>
            </w:r>
          </w:p>
          <w:p>
            <w:pPr>
              <w:spacing w:after="20" w:line="280"/>
            </w:pPr>
            <w:r>
              <w:rPr>
                <w:rFonts w:ascii="Calibri" w:cs="Calibri" w:eastAsia="Calibri" w:hAnsi="Calibri"/>
                <w:color w:val="3A4A61"/>
                <w:sz w:val="19"/>
                <w:szCs w:val="19"/>
              </w:rPr>
              <w:t xml:space="preserve">Bu şablon genel bir örnektir ve tek başına kullanılmak üzere hazırlanmamıştır. Cevap dilekçesi süreye bağlıdır ve bu aşamada ileri sürülmeyen bazı itiraz ve savunmalar sonradan dinlenmeyebilir. Mutlaka avukatınızla birlikte, dava dilekçesine ve dosya kapsamına göre uyarlayınız.</w:t>
            </w: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İç Kontrol Listesi (İK / Hukuk)</w:t>
      </w:r>
    </w:p>
    <w:p>
      <w:pPr>
        <w:spacing w:after="120" w:before="0" w:line="300"/>
        <w:jc w:val="both"/>
      </w:pPr>
      <w:r>
        <w:rPr>
          <w:rFonts w:ascii="Calibri" w:cs="Calibri" w:eastAsia="Calibri" w:hAnsi="Calibri"/>
          <w:color w:val="3A4A61"/>
          <w:sz w:val="21"/>
          <w:szCs w:val="21"/>
        </w:rPr>
        <w:t xml:space="preserve">Bu sayfa iç kullanım içindir; mahkemeye sunulmaz.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354"/>
        <w:gridCol w:w="1070"/>
        <w:gridCol w:w="3214"/>
      </w:tblGrid>
      <w:tr>
        <w:trPr>
          <w:cantSplit/>
          <w:trHeight w:val="400" w:hRule="atLeast"/>
        </w:trPr>
        <w:tc>
          <w:tcPr>
            <w:tcW w:type="dxa" w:w="53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Adım</w:t>
            </w:r>
          </w:p>
        </w:tc>
        <w:tc>
          <w:tcPr>
            <w:tcW w:type="dxa" w:w="107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Yapıldı</w:t>
            </w:r>
          </w:p>
        </w:tc>
        <w:tc>
          <w:tcPr>
            <w:tcW w:type="dxa" w:w="32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 / Not</w:t>
            </w: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Dava dilekçesinin tebliğ tarihi kaydedildi; cevap süresinin son günü avukatla birlikte hesaplanıp takvime işlendi</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Dosya avukata dava dilekçesi, arabuluculuk tutanakları ve önceki yazışmalarla birlikte iletildi</w:t>
            </w:r>
          </w:p>
        </w:tc>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Arabuluculuk son tutanağında hangi alacak kalemlerinin yer aldığı kontrol edildi</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Davacının çalışma dönemi, görev ve ücret geçmişi özlük dosyasından çıkarıldı</w:t>
            </w:r>
          </w:p>
        </w:tc>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İddia edilen döneme ait PDKS ham kayıtları, puantajlar ve vardiya çizelgeleri dışa aktarıldı</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İmzalı bordrolar ve banka dekontları dönem dönem eşleştirildi</w:t>
            </w:r>
          </w:p>
        </w:tc>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Yıllık fazla çalışma onayı, onay formları, denkleştirme ve serbest zaman kayıtları toplandı</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İzin, rapor ve resmî tatil günleri listesi çıkarıldı</w:t>
            </w:r>
          </w:p>
        </w:tc>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Beş yıldan eski dönemler belirlendi; zamanaşımı def'i için avukata bildirildi</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Davalı tanıkları (yönetici, vardiya amiri) belirlendi; iletişim bilgileri avukata verildi</w:t>
            </w:r>
          </w:p>
        </w:tc>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Kayıtlarla çelişen bir savunma yapılmadığı kontrol edildi</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Uzlaşma ihtimali ve sınırı yönetimle değerlendirildi</w:t>
            </w:r>
          </w:p>
        </w:tc>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Aynı birimde benzer dava riski için önleyici kayıt düzeni gözden geçirildi</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İş mahkemelerinde basit yargılama usulü uygulanır (7036 sayılı Kanun md. 7). Arabuluculuk dava şartıdır; son tutanağın dava dilekçesine eklenmesi gerekir (md. 3). Yetkili mahkeme, davalının davanın açıldığı tarihteki yerleşim yeri ile işin yapıldığı yer mahkemesidir (md. 6). Cevap süresi ve ek süre imkânı Hukuk Muhakemeleri Kanunu'na göre belirlenir; süreyi avukatınızla teyit ediniz.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DAVA DİLEKÇESİ ŞABLONU</w:t>
          </w:r>
          <w:r>
            <w:rPr>
              <w:rFonts w:ascii="Calibri" w:cs="Calibri" w:eastAsia="Calibri" w:hAnsi="Calibri"/>
              <w:color w:val="8C9BB0"/>
              <w:sz w:val="16"/>
              <w:szCs w:val="16"/>
            </w:rPr>
            <w:t xml:space="preserve">  ·  Belge No: [İK-Y-xx]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Fazla Mesai Alacağı Davası Cevap Dilekçesi</dc:title>
  <dc:creator>İK Partner</dc:creator>
  <dc:description>Fazla Mesai Alacağı Davası Cevap Dilekçesi — İK Partner (ikpartner.com) ücretsiz İK şablonu</dc:description>
  <cp:lastModifiedBy>Un-named</cp:lastModifiedBy>
  <cp:revision>1</cp:revision>
  <dcterms:created xsi:type="dcterms:W3CDTF">2026-10-13T21:45:18.850Z</dcterms:created>
  <dcterms:modified xsi:type="dcterms:W3CDTF">2026-10-13T21:45:18.852Z</dcterms:modified>
</cp:coreProperties>
</file>

<file path=docProps/custom.xml><?xml version="1.0" encoding="utf-8"?>
<Properties xmlns="http://schemas.openxmlformats.org/officeDocument/2006/custom-properties" xmlns:vt="http://schemas.openxmlformats.org/officeDocument/2006/docPropsVTypes"/>
</file>