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Fazla Çalışma Yıllık Onay Belgesi (Muvafakatname)</w:t>
      </w:r>
    </w:p>
    <w:p>
      <w:pPr>
        <w:pBdr>
          <w:bottom w:val="single" w:color="13B8A7" w:sz="12" w:space="8"/>
        </w:pBdr>
        <w:spacing w:after="220"/>
      </w:pPr>
      <w:r>
        <w:rPr>
          <w:rFonts w:ascii="Calibri" w:cs="Calibri" w:eastAsia="Calibri" w:hAnsi="Calibri"/>
          <w:color w:val="5A6B82"/>
          <w:sz w:val="21"/>
          <w:szCs w:val="21"/>
        </w:rPr>
        <w:t xml:space="preserve">Takvim yılı başında her çalışandan alınan fazla çalışma ve fazla sürelerle çalışma onayı; toplu imza listesi ve İK uygunluk kontrolü ile.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 Yılı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Şirket / İşyeri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Belge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Sözleşmedeki Haftalık Çalışma Süresi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Düzeni (tek vardiya / vardiyalı / denkleştirmeli)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Muvafakat Beyanı</w:t>
      </w:r>
    </w:p>
    <w:p>
      <w:pPr>
        <w:spacing w:after="120" w:before="0" w:line="300"/>
        <w:jc w:val="both"/>
      </w:pPr>
      <w:r>
        <w:rPr>
          <w:rFonts w:ascii="Calibri" w:cs="Calibri" w:eastAsia="Calibri" w:hAnsi="Calibri"/>
          <w:color w:val="3A4A61"/>
          <w:sz w:val="21"/>
          <w:szCs w:val="21"/>
        </w:rPr>
        <w:t xml:space="preserve">4857 sayılı İş Kanunu'nun 41. maddesi ve Fazla Çalışma ve Fazla Sürelerle Çalışma Yönetmeliği uyarınca, </w:t>
      </w:r>
      <w:r>
        <w:rPr>
          <w:rFonts w:ascii="Calibri" w:cs="Calibri" w:eastAsia="Calibri" w:hAnsi="Calibri"/>
          <w:b/>
          <w:bCs/>
          <w:color w:val="3A4A61"/>
          <w:sz w:val="21"/>
          <w:szCs w:val="21"/>
        </w:rPr>
        <w:t xml:space="preserve">[Yıl]</w:t>
      </w:r>
      <w:r>
        <w:rPr>
          <w:rFonts w:ascii="Calibri" w:cs="Calibri" w:eastAsia="Calibri" w:hAnsi="Calibri"/>
          <w:color w:val="3A4A61"/>
          <w:sz w:val="21"/>
          <w:szCs w:val="21"/>
        </w:rPr>
        <w:t xml:space="preserve"> takvim yılı boyunca işverenin ihtiyaç duyması halinde </w:t>
      </w:r>
      <w:r>
        <w:rPr>
          <w:rFonts w:ascii="Calibri" w:cs="Calibri" w:eastAsia="Calibri" w:hAnsi="Calibri"/>
          <w:b/>
          <w:bCs/>
          <w:color w:val="3A4A61"/>
          <w:sz w:val="21"/>
          <w:szCs w:val="21"/>
        </w:rPr>
        <w:t xml:space="preserve">fazla çalışma</w:t>
      </w:r>
      <w:r>
        <w:rPr>
          <w:rFonts w:ascii="Calibri" w:cs="Calibri" w:eastAsia="Calibri" w:hAnsi="Calibri"/>
          <w:color w:val="3A4A61"/>
          <w:sz w:val="21"/>
          <w:szCs w:val="21"/>
        </w:rPr>
        <w:t xml:space="preserve"> ve </w:t>
      </w:r>
      <w:r>
        <w:rPr>
          <w:rFonts w:ascii="Calibri" w:cs="Calibri" w:eastAsia="Calibri" w:hAnsi="Calibri"/>
          <w:b/>
          <w:bCs/>
          <w:color w:val="3A4A61"/>
          <w:sz w:val="21"/>
          <w:szCs w:val="21"/>
        </w:rPr>
        <w:t xml:space="preserve">fazla sürelerle çalışma</w:t>
      </w:r>
      <w:r>
        <w:rPr>
          <w:rFonts w:ascii="Calibri" w:cs="Calibri" w:eastAsia="Calibri" w:hAnsi="Calibri"/>
          <w:color w:val="3A4A61"/>
          <w:sz w:val="21"/>
          <w:szCs w:val="21"/>
        </w:rPr>
        <w:t xml:space="preserve"> yapmayı kabul ediyorum. Bu onayı verirken aşağıdaki hususlar bana açıklanmıştır:</w:t>
      </w:r>
    </w:p>
    <w:p>
      <w:pPr>
        <w:pStyle w:val="ListParagraph"/>
        <w:numPr>
          <w:ilvl w:val="0"/>
          <w:numId w:val="2"/>
        </w:numPr>
        <w:spacing w:after="80" w:line="290"/>
      </w:pPr>
      <w:r>
        <w:rPr>
          <w:rFonts w:ascii="Calibri" w:cs="Calibri" w:eastAsia="Calibri" w:hAnsi="Calibri"/>
          <w:color w:val="3A4A61"/>
          <w:sz w:val="21"/>
          <w:szCs w:val="21"/>
        </w:rPr>
        <w:t xml:space="preserve">Haftalık 45 saati aşan çalışmalar fazla çalışmadır; her saati normal saat ücretimin </w:t>
      </w:r>
      <w:r>
        <w:rPr>
          <w:rFonts w:ascii="Calibri" w:cs="Calibri" w:eastAsia="Calibri" w:hAnsi="Calibri"/>
          <w:b/>
          <w:bCs/>
          <w:color w:val="3A4A61"/>
          <w:sz w:val="21"/>
          <w:szCs w:val="21"/>
        </w:rPr>
        <w:t xml:space="preserve">%50</w:t>
      </w:r>
      <w:r>
        <w:rPr>
          <w:rFonts w:ascii="Calibri" w:cs="Calibri" w:eastAsia="Calibri" w:hAnsi="Calibri"/>
          <w:color w:val="3A4A61"/>
          <w:sz w:val="21"/>
          <w:szCs w:val="21"/>
        </w:rPr>
        <w:t xml:space="preserve"> fazlasıyla ödenir. Haftalık sürem sözleşmede 45 saatin altında belirlenmişse, bu süreyi aşıp 45 saate kadar yapılan çalışmalar fazla sürelerle çalışmadır ve </w:t>
      </w:r>
      <w:r>
        <w:rPr>
          <w:rFonts w:ascii="Calibri" w:cs="Calibri" w:eastAsia="Calibri" w:hAnsi="Calibri"/>
          <w:b/>
          <w:bCs/>
          <w:color w:val="3A4A61"/>
          <w:sz w:val="21"/>
          <w:szCs w:val="21"/>
        </w:rPr>
        <w:t xml:space="preserve">%25</w:t>
      </w:r>
      <w:r>
        <w:rPr>
          <w:rFonts w:ascii="Calibri" w:cs="Calibri" w:eastAsia="Calibri" w:hAnsi="Calibri"/>
          <w:color w:val="3A4A61"/>
          <w:sz w:val="21"/>
          <w:szCs w:val="21"/>
        </w:rPr>
        <w:t xml:space="preserve"> fazlasıyla ödenir.</w:t>
      </w:r>
    </w:p>
    <w:p>
      <w:pPr>
        <w:pStyle w:val="ListParagraph"/>
        <w:numPr>
          <w:ilvl w:val="0"/>
          <w:numId w:val="2"/>
        </w:numPr>
        <w:spacing w:after="80" w:line="290"/>
      </w:pPr>
      <w:r>
        <w:rPr>
          <w:rFonts w:ascii="Calibri" w:cs="Calibri" w:eastAsia="Calibri" w:hAnsi="Calibri"/>
          <w:color w:val="3A4A61"/>
          <w:sz w:val="21"/>
          <w:szCs w:val="21"/>
        </w:rPr>
        <w:t xml:space="preserve">Denkleştirme uygulanan dönemlerde, haftalık ortalama sürem normal haftalık süreyi aşmadıkça bazı haftalarda 45 saatin aşılması fazla çalışma sayılmaz.</w:t>
      </w:r>
    </w:p>
    <w:p>
      <w:pPr>
        <w:pStyle w:val="ListParagraph"/>
        <w:numPr>
          <w:ilvl w:val="0"/>
          <w:numId w:val="2"/>
        </w:numPr>
        <w:spacing w:after="80" w:line="290"/>
      </w:pPr>
      <w:r>
        <w:rPr>
          <w:rFonts w:ascii="Calibri" w:cs="Calibri" w:eastAsia="Calibri" w:hAnsi="Calibri"/>
          <w:color w:val="3A4A61"/>
          <w:sz w:val="21"/>
          <w:szCs w:val="21"/>
        </w:rPr>
        <w:t xml:space="preserve">İstersem zamlı ücret yerine her fazla çalışma saati için </w:t>
      </w:r>
      <w:r>
        <w:rPr>
          <w:rFonts w:ascii="Calibri" w:cs="Calibri" w:eastAsia="Calibri" w:hAnsi="Calibri"/>
          <w:b/>
          <w:bCs/>
          <w:color w:val="3A4A61"/>
          <w:sz w:val="21"/>
          <w:szCs w:val="21"/>
        </w:rPr>
        <w:t xml:space="preserve">1 saat 30 dakika</w:t>
      </w:r>
      <w:r>
        <w:rPr>
          <w:rFonts w:ascii="Calibri" w:cs="Calibri" w:eastAsia="Calibri" w:hAnsi="Calibri"/>
          <w:color w:val="3A4A61"/>
          <w:sz w:val="21"/>
          <w:szCs w:val="21"/>
        </w:rPr>
        <w:t xml:space="preserve">, her fazla sürelerle çalışma saati için </w:t>
      </w:r>
      <w:r>
        <w:rPr>
          <w:rFonts w:ascii="Calibri" w:cs="Calibri" w:eastAsia="Calibri" w:hAnsi="Calibri"/>
          <w:b/>
          <w:bCs/>
          <w:color w:val="3A4A61"/>
          <w:sz w:val="21"/>
          <w:szCs w:val="21"/>
        </w:rPr>
        <w:t xml:space="preserve">1 saat 15 dakika</w:t>
      </w:r>
      <w:r>
        <w:rPr>
          <w:rFonts w:ascii="Calibri" w:cs="Calibri" w:eastAsia="Calibri" w:hAnsi="Calibri"/>
          <w:color w:val="3A4A61"/>
          <w:sz w:val="21"/>
          <w:szCs w:val="21"/>
        </w:rPr>
        <w:t xml:space="preserve"> serbest zaman kullanabilirim; serbest zaman </w:t>
      </w:r>
      <w:r>
        <w:rPr>
          <w:rFonts w:ascii="Calibri" w:cs="Calibri" w:eastAsia="Calibri" w:hAnsi="Calibri"/>
          <w:b/>
          <w:bCs/>
          <w:color w:val="3A4A61"/>
          <w:sz w:val="21"/>
          <w:szCs w:val="21"/>
        </w:rPr>
        <w:t xml:space="preserve">6 ay</w:t>
      </w:r>
      <w:r>
        <w:rPr>
          <w:rFonts w:ascii="Calibri" w:cs="Calibri" w:eastAsia="Calibri" w:hAnsi="Calibri"/>
          <w:color w:val="3A4A61"/>
          <w:sz w:val="21"/>
          <w:szCs w:val="21"/>
        </w:rPr>
        <w:t xml:space="preserve"> içinde, çalışma süreleri içinde ve ücretimden kesinti yapılmadan kullandırılır.</w:t>
      </w:r>
    </w:p>
    <w:p>
      <w:pPr>
        <w:pStyle w:val="ListParagraph"/>
        <w:numPr>
          <w:ilvl w:val="0"/>
          <w:numId w:val="2"/>
        </w:numPr>
        <w:spacing w:after="80" w:line="290"/>
      </w:pPr>
      <w:r>
        <w:rPr>
          <w:rFonts w:ascii="Calibri" w:cs="Calibri" w:eastAsia="Calibri" w:hAnsi="Calibri"/>
          <w:color w:val="3A4A61"/>
          <w:sz w:val="21"/>
          <w:szCs w:val="21"/>
        </w:rPr>
        <w:t xml:space="preserve">Bir yılda yaptırılacak fazla çalışmanın toplamı </w:t>
      </w:r>
      <w:r>
        <w:rPr>
          <w:rFonts w:ascii="Calibri" w:cs="Calibri" w:eastAsia="Calibri" w:hAnsi="Calibri"/>
          <w:b/>
          <w:bCs/>
          <w:color w:val="3A4A61"/>
          <w:sz w:val="21"/>
          <w:szCs w:val="21"/>
        </w:rPr>
        <w:t xml:space="preserve">270 saati</w:t>
      </w:r>
      <w:r>
        <w:rPr>
          <w:rFonts w:ascii="Calibri" w:cs="Calibri" w:eastAsia="Calibri" w:hAnsi="Calibri"/>
          <w:color w:val="3A4A61"/>
          <w:sz w:val="21"/>
          <w:szCs w:val="21"/>
        </w:rPr>
        <w:t xml:space="preserve"> geçemez; gece çalışmaları </w:t>
      </w:r>
      <w:r>
        <w:rPr>
          <w:rFonts w:ascii="Calibri" w:cs="Calibri" w:eastAsia="Calibri" w:hAnsi="Calibri"/>
          <w:b/>
          <w:bCs/>
          <w:color w:val="3A4A61"/>
          <w:sz w:val="21"/>
          <w:szCs w:val="21"/>
        </w:rPr>
        <w:t xml:space="preserve">7,5 saati</w:t>
      </w:r>
      <w:r>
        <w:rPr>
          <w:rFonts w:ascii="Calibri" w:cs="Calibri" w:eastAsia="Calibri" w:hAnsi="Calibri"/>
          <w:color w:val="3A4A61"/>
          <w:sz w:val="21"/>
          <w:szCs w:val="21"/>
        </w:rPr>
        <w:t xml:space="preserve"> aşamaz ve gece döneminde fazla çalışma yaptırılmaz.</w:t>
      </w:r>
    </w:p>
    <w:p>
      <w:pPr>
        <w:pStyle w:val="ListParagraph"/>
        <w:numPr>
          <w:ilvl w:val="0"/>
          <w:numId w:val="2"/>
        </w:numPr>
        <w:spacing w:after="80" w:line="290"/>
      </w:pPr>
      <w:r>
        <w:rPr>
          <w:rFonts w:ascii="Calibri" w:cs="Calibri" w:eastAsia="Calibri" w:hAnsi="Calibri"/>
          <w:color w:val="3A4A61"/>
          <w:sz w:val="21"/>
          <w:szCs w:val="21"/>
        </w:rPr>
        <w:t xml:space="preserve">Fazla çalışmalarım kayıt altına alınır ve ücret hesap pusulamda ayrıca gösterilir.</w:t>
      </w:r>
    </w:p>
    <w:p>
      <w:pPr>
        <w:pStyle w:val="ListParagraph"/>
        <w:numPr>
          <w:ilvl w:val="0"/>
          <w:numId w:val="2"/>
        </w:numPr>
        <w:spacing w:after="80" w:line="290"/>
      </w:pPr>
      <w:r>
        <w:rPr>
          <w:rFonts w:ascii="Calibri" w:cs="Calibri" w:eastAsia="Calibri" w:hAnsi="Calibri"/>
          <w:color w:val="3A4A61"/>
          <w:sz w:val="21"/>
          <w:szCs w:val="21"/>
        </w:rPr>
        <w:t xml:space="preserve">Bu onay, her fazla çalışmanın ayrıca planlanmasını ve bana önceden bildirilmesini ortadan kaldırmaz.</w:t>
      </w:r>
    </w:p>
    <w:p>
      <w:pPr>
        <w:spacing w:after="120" w:before="0" w:line="300"/>
        <w:jc w:val="both"/>
      </w:pPr>
      <w:r>
        <w:rPr>
          <w:rFonts w:ascii="Calibri" w:cs="Calibri" w:eastAsia="Calibri" w:hAnsi="Calibri"/>
          <w:color w:val="3A4A61"/>
          <w:sz w:val="21"/>
          <w:szCs w:val="21"/>
        </w:rPr>
        <w:t xml:space="preserve">Onayımın kapsamı: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ve fazla sürelerle çalışmanın tamamı için onay veriyorum.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Yalnızca hafta içi çalışma günlerinde yapılacak fazla çalışma için onay veriyorum.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 vermiyorum.</w:t>
      </w:r>
    </w:p>
    <w:p>
      <w:pPr>
        <w:spacing w:after="120" w:before="0" w:line="300"/>
        <w:jc w:val="both"/>
      </w:pPr>
      <w:r>
        <w:rPr>
          <w:rFonts w:ascii="Calibri" w:cs="Calibri" w:eastAsia="Calibri" w:hAnsi="Calibri"/>
          <w:color w:val="3A4A61"/>
          <w:sz w:val="21"/>
          <w:szCs w:val="21"/>
        </w:rPr>
        <w:t xml:space="preserve">Karşılık tercihim:</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Zamlı ücret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Serbest zaman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talepte ayrıca bildireceğim</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Bu onayı herhangi bir baskı altında kalmadan verdiğimi; onayımı ileride, yönetmelikte öngörülen bildirim süresine uyarak yazılı bildirimle geri alabileceğimi ve onay vermemem veya geri almam nedeniyle hakkımda olumsuz bir işlem yapılmayacağını biliyorum. Belgenin bir nüshasını teslim aldım.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İşveren Vekili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Toplu Yıllık Onay İmza Listesi</w:t>
      </w:r>
    </w:p>
    <w:p>
      <w:pPr>
        <w:spacing w:after="120" w:before="0" w:line="300"/>
        <w:jc w:val="both"/>
      </w:pPr>
      <w:r>
        <w:rPr>
          <w:rFonts w:ascii="Calibri" w:cs="Calibri" w:eastAsia="Calibri" w:hAnsi="Calibri"/>
          <w:color w:val="3A4A61"/>
          <w:sz w:val="21"/>
          <w:szCs w:val="21"/>
        </w:rPr>
        <w:t xml:space="preserve">Bu sayfa, bir departmandaki çalışanların yıllık onayını tek seferde toplamak için kullanılır. Her çalışan aşağıdaki beyanı okuyarak kendi satırını </w:t>
      </w:r>
      <w:r>
        <w:rPr>
          <w:rFonts w:ascii="Calibri" w:cs="Calibri" w:eastAsia="Calibri" w:hAnsi="Calibri"/>
          <w:b/>
          <w:bCs/>
          <w:color w:val="3A4A61"/>
          <w:sz w:val="21"/>
          <w:szCs w:val="21"/>
        </w:rPr>
        <w:t xml:space="preserve">bizzat</w:t>
      </w:r>
      <w:r>
        <w:rPr>
          <w:rFonts w:ascii="Calibri" w:cs="Calibri" w:eastAsia="Calibri" w:hAnsi="Calibri"/>
          <w:color w:val="3A4A61"/>
          <w:sz w:val="21"/>
          <w:szCs w:val="21"/>
        </w:rPr>
        <w:t xml:space="preserve"> doldurur ve imzalar; başkası adına imza atılmaz.</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Beyan</w:t>
            </w:r>
          </w:p>
          <w:p>
            <w:pPr>
              <w:spacing w:after="20" w:line="280"/>
            </w:pPr>
            <w:r>
              <w:rPr>
                <w:rFonts w:ascii="Calibri" w:cs="Calibri" w:eastAsia="Calibri" w:hAnsi="Calibri"/>
                <w:b/>
                <w:bCs/>
                <w:color w:val="3A4A61"/>
                <w:sz w:val="19"/>
                <w:szCs w:val="19"/>
              </w:rPr>
              <w:t xml:space="preserve">[Yıl]</w:t>
            </w:r>
            <w:r>
              <w:rPr>
                <w:rFonts w:ascii="Calibri" w:cs="Calibri" w:eastAsia="Calibri" w:hAnsi="Calibri"/>
                <w:color w:val="3A4A61"/>
                <w:sz w:val="19"/>
                <w:szCs w:val="19"/>
              </w:rPr>
              <w:t xml:space="preserve"> takvim yılı boyunca, 4857 sayılı İş Kanunu md. 41 ve Fazla Çalışma ve Fazla Sürelerle Çalışma Yönetmeliği kapsamında, işverenin ihtiyaç duyması halinde fazla çalışma ve fazla sürelerle çalışma yapmayı; fazla çalışmanın %50, fazla sürelerle çalışmanın %25 zamlı ücretle veya talebim halinde serbest zamanla karşılanacağını, yıllık 270 saat sınırını ve onayımı yazılı bildirimle geri alabileceğimi bilerek, kendi özgür irademle </w:t>
            </w:r>
            <w:r>
              <w:rPr>
                <w:rFonts w:ascii="Calibri" w:cs="Calibri" w:eastAsia="Calibri" w:hAnsi="Calibri"/>
                <w:color w:val="1D5888"/>
                <w:sz w:val="19"/>
                <w:szCs w:val="19"/>
                <w:shd w:fill="EAF1F8" w:color="auto" w:val="clear"/>
              </w:rPr>
              <w:t xml:space="preserve">[kabul ediyorum / kabul etmiyorum]</w:t>
            </w:r>
            <w:r>
              <w:rPr>
                <w:rFonts w:ascii="Calibri" w:cs="Calibri" w:eastAsia="Calibri" w:hAnsi="Calibri"/>
                <w:color w:val="3A4A61"/>
                <w:sz w:val="19"/>
                <w:szCs w:val="19"/>
              </w:rPr>
              <w:t xml:space="preserve">.</w:t>
            </w: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Liste Tarihi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30"/>
        <w:gridCol w:w="2298"/>
        <w:gridCol w:w="972"/>
        <w:gridCol w:w="1680"/>
        <w:gridCol w:w="1680"/>
        <w:gridCol w:w="1061"/>
        <w:gridCol w:w="1417"/>
      </w:tblGrid>
      <w:tr>
        <w:trPr>
          <w:cantSplit/>
          <w:trHeight w:val="400" w:hRule="atLeast"/>
        </w:trPr>
        <w:tc>
          <w:tcPr>
            <w:tcW w:type="dxa" w:w="53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Sıra</w:t>
            </w:r>
          </w:p>
        </w:tc>
        <w:tc>
          <w:tcPr>
            <w:tcW w:type="dxa" w:w="229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 Soyadı</w:t>
            </w:r>
          </w:p>
        </w:tc>
        <w:tc>
          <w:tcPr>
            <w:tcW w:type="dxa" w:w="97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Sicil No</w:t>
            </w:r>
          </w:p>
        </w:tc>
        <w:tc>
          <w:tcPr>
            <w:tcW w:type="dxa" w:w="16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w:t>
            </w:r>
          </w:p>
        </w:tc>
        <w:tc>
          <w:tcPr>
            <w:tcW w:type="dxa" w:w="168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Karşılık Tercihi</w:t>
            </w:r>
          </w:p>
        </w:tc>
        <w:tc>
          <w:tcPr>
            <w:tcW w:type="dxa" w:w="106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41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530"/>
            <w:tcMar>
              <w:top w:type="dxa" w:w="60"/>
              <w:left w:type="dxa" w:w="110"/>
              <w:bottom w:type="dxa" w:w="60"/>
              <w:right w:type="dxa" w:w="110"/>
            </w:tcMar>
            <w:vAlign w:val="center"/>
          </w:tcPr>
          <w:p>
            <w:pPr>
              <w:spacing w:before="40" w:after="40"/>
            </w:pPr>
          </w:p>
        </w:tc>
        <w:tc>
          <w:tcPr>
            <w:tcW w:type="dxa" w:w="2298"/>
            <w:tcMar>
              <w:top w:type="dxa" w:w="60"/>
              <w:left w:type="dxa" w:w="110"/>
              <w:bottom w:type="dxa" w:w="60"/>
              <w:right w:type="dxa" w:w="110"/>
            </w:tcMar>
            <w:vAlign w:val="center"/>
          </w:tcPr>
          <w:p>
            <w:pPr>
              <w:spacing w:before="40" w:after="40"/>
            </w:pPr>
          </w:p>
        </w:tc>
        <w:tc>
          <w:tcPr>
            <w:tcW w:type="dxa" w:w="972"/>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061"/>
            <w:tcMar>
              <w:top w:type="dxa" w:w="60"/>
              <w:left w:type="dxa" w:w="110"/>
              <w:bottom w:type="dxa" w:w="60"/>
              <w:right w:type="dxa" w:w="110"/>
            </w:tcMar>
            <w:vAlign w:val="center"/>
          </w:tcPr>
          <w:p>
            <w:pPr>
              <w:spacing w:before="40" w:after="40"/>
            </w:pPr>
          </w:p>
        </w:tc>
        <w:tc>
          <w:tcPr>
            <w:tcW w:type="dxa" w:w="1417"/>
            <w:tcMar>
              <w:top w:type="dxa" w:w="60"/>
              <w:left w:type="dxa" w:w="110"/>
              <w:bottom w:type="dxa" w:w="60"/>
              <w:right w:type="dxa" w:w="110"/>
            </w:tcMar>
            <w:vAlign w:val="center"/>
          </w:tcPr>
          <w:p>
            <w:pPr>
              <w:spacing w:before="40" w:after="40"/>
            </w:pPr>
          </w:p>
        </w:tc>
      </w:tr>
      <w:tr>
        <w:trPr>
          <w:cantSplit/>
          <w:trHeight w:val="380" w:hRule="atLeast"/>
        </w:trPr>
        <w:tc>
          <w:tcPr>
            <w:tcW w:type="dxa" w:w="530"/>
            <w:shd w:fill="F5F8FB" w:color="auto" w:val="clear"/>
            <w:tcMar>
              <w:top w:type="dxa" w:w="60"/>
              <w:left w:type="dxa" w:w="110"/>
              <w:bottom w:type="dxa" w:w="60"/>
              <w:right w:type="dxa" w:w="110"/>
            </w:tcMar>
            <w:vAlign w:val="center"/>
          </w:tcPr>
          <w:p>
            <w:pPr>
              <w:spacing w:before="40" w:after="40"/>
            </w:pPr>
          </w:p>
        </w:tc>
        <w:tc>
          <w:tcPr>
            <w:tcW w:type="dxa" w:w="2298"/>
            <w:shd w:fill="F5F8FB" w:color="auto" w:val="clear"/>
            <w:tcMar>
              <w:top w:type="dxa" w:w="60"/>
              <w:left w:type="dxa" w:w="110"/>
              <w:bottom w:type="dxa" w:w="60"/>
              <w:right w:type="dxa" w:w="110"/>
            </w:tcMar>
            <w:vAlign w:val="center"/>
          </w:tcPr>
          <w:p>
            <w:pPr>
              <w:spacing w:before="40" w:after="40"/>
            </w:pPr>
          </w:p>
        </w:tc>
        <w:tc>
          <w:tcPr>
            <w:tcW w:type="dxa" w:w="972"/>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061"/>
            <w:shd w:fill="F5F8FB" w:color="auto" w:val="clear"/>
            <w:tcMar>
              <w:top w:type="dxa" w:w="60"/>
              <w:left w:type="dxa" w:w="110"/>
              <w:bottom w:type="dxa" w:w="60"/>
              <w:right w:type="dxa" w:w="110"/>
            </w:tcMar>
            <w:vAlign w:val="center"/>
          </w:tcPr>
          <w:p>
            <w:pPr>
              <w:spacing w:before="40" w:after="40"/>
            </w:pPr>
          </w:p>
        </w:tc>
        <w:tc>
          <w:tcPr>
            <w:tcW w:type="dxa" w:w="14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0"/>
            <w:tcMar>
              <w:top w:type="dxa" w:w="60"/>
              <w:left w:type="dxa" w:w="110"/>
              <w:bottom w:type="dxa" w:w="60"/>
              <w:right w:type="dxa" w:w="110"/>
            </w:tcMar>
            <w:vAlign w:val="center"/>
          </w:tcPr>
          <w:p>
            <w:pPr>
              <w:spacing w:before="40" w:after="40"/>
            </w:pPr>
          </w:p>
        </w:tc>
        <w:tc>
          <w:tcPr>
            <w:tcW w:type="dxa" w:w="2298"/>
            <w:tcMar>
              <w:top w:type="dxa" w:w="60"/>
              <w:left w:type="dxa" w:w="110"/>
              <w:bottom w:type="dxa" w:w="60"/>
              <w:right w:type="dxa" w:w="110"/>
            </w:tcMar>
            <w:vAlign w:val="center"/>
          </w:tcPr>
          <w:p>
            <w:pPr>
              <w:spacing w:before="40" w:after="40"/>
            </w:pPr>
          </w:p>
        </w:tc>
        <w:tc>
          <w:tcPr>
            <w:tcW w:type="dxa" w:w="972"/>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061"/>
            <w:tcMar>
              <w:top w:type="dxa" w:w="60"/>
              <w:left w:type="dxa" w:w="110"/>
              <w:bottom w:type="dxa" w:w="60"/>
              <w:right w:type="dxa" w:w="110"/>
            </w:tcMar>
            <w:vAlign w:val="center"/>
          </w:tcPr>
          <w:p>
            <w:pPr>
              <w:spacing w:before="40" w:after="40"/>
            </w:pPr>
          </w:p>
        </w:tc>
        <w:tc>
          <w:tcPr>
            <w:tcW w:type="dxa" w:w="1417"/>
            <w:tcMar>
              <w:top w:type="dxa" w:w="60"/>
              <w:left w:type="dxa" w:w="110"/>
              <w:bottom w:type="dxa" w:w="60"/>
              <w:right w:type="dxa" w:w="110"/>
            </w:tcMar>
            <w:vAlign w:val="center"/>
          </w:tcPr>
          <w:p>
            <w:pPr>
              <w:spacing w:before="40" w:after="40"/>
            </w:pPr>
          </w:p>
        </w:tc>
      </w:tr>
      <w:tr>
        <w:trPr>
          <w:cantSplit/>
          <w:trHeight w:val="380" w:hRule="atLeast"/>
        </w:trPr>
        <w:tc>
          <w:tcPr>
            <w:tcW w:type="dxa" w:w="530"/>
            <w:shd w:fill="F5F8FB" w:color="auto" w:val="clear"/>
            <w:tcMar>
              <w:top w:type="dxa" w:w="60"/>
              <w:left w:type="dxa" w:w="110"/>
              <w:bottom w:type="dxa" w:w="60"/>
              <w:right w:type="dxa" w:w="110"/>
            </w:tcMar>
            <w:vAlign w:val="center"/>
          </w:tcPr>
          <w:p>
            <w:pPr>
              <w:spacing w:before="40" w:after="40"/>
            </w:pPr>
          </w:p>
        </w:tc>
        <w:tc>
          <w:tcPr>
            <w:tcW w:type="dxa" w:w="2298"/>
            <w:shd w:fill="F5F8FB" w:color="auto" w:val="clear"/>
            <w:tcMar>
              <w:top w:type="dxa" w:w="60"/>
              <w:left w:type="dxa" w:w="110"/>
              <w:bottom w:type="dxa" w:w="60"/>
              <w:right w:type="dxa" w:w="110"/>
            </w:tcMar>
            <w:vAlign w:val="center"/>
          </w:tcPr>
          <w:p>
            <w:pPr>
              <w:spacing w:before="40" w:after="40"/>
            </w:pPr>
          </w:p>
        </w:tc>
        <w:tc>
          <w:tcPr>
            <w:tcW w:type="dxa" w:w="972"/>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061"/>
            <w:shd w:fill="F5F8FB" w:color="auto" w:val="clear"/>
            <w:tcMar>
              <w:top w:type="dxa" w:w="60"/>
              <w:left w:type="dxa" w:w="110"/>
              <w:bottom w:type="dxa" w:w="60"/>
              <w:right w:type="dxa" w:w="110"/>
            </w:tcMar>
            <w:vAlign w:val="center"/>
          </w:tcPr>
          <w:p>
            <w:pPr>
              <w:spacing w:before="40" w:after="40"/>
            </w:pPr>
          </w:p>
        </w:tc>
        <w:tc>
          <w:tcPr>
            <w:tcW w:type="dxa" w:w="14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0"/>
            <w:tcMar>
              <w:top w:type="dxa" w:w="60"/>
              <w:left w:type="dxa" w:w="110"/>
              <w:bottom w:type="dxa" w:w="60"/>
              <w:right w:type="dxa" w:w="110"/>
            </w:tcMar>
            <w:vAlign w:val="center"/>
          </w:tcPr>
          <w:p>
            <w:pPr>
              <w:spacing w:before="40" w:after="40"/>
            </w:pPr>
          </w:p>
        </w:tc>
        <w:tc>
          <w:tcPr>
            <w:tcW w:type="dxa" w:w="2298"/>
            <w:tcMar>
              <w:top w:type="dxa" w:w="60"/>
              <w:left w:type="dxa" w:w="110"/>
              <w:bottom w:type="dxa" w:w="60"/>
              <w:right w:type="dxa" w:w="110"/>
            </w:tcMar>
            <w:vAlign w:val="center"/>
          </w:tcPr>
          <w:p>
            <w:pPr>
              <w:spacing w:before="40" w:after="40"/>
            </w:pPr>
          </w:p>
        </w:tc>
        <w:tc>
          <w:tcPr>
            <w:tcW w:type="dxa" w:w="972"/>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061"/>
            <w:tcMar>
              <w:top w:type="dxa" w:w="60"/>
              <w:left w:type="dxa" w:w="110"/>
              <w:bottom w:type="dxa" w:w="60"/>
              <w:right w:type="dxa" w:w="110"/>
            </w:tcMar>
            <w:vAlign w:val="center"/>
          </w:tcPr>
          <w:p>
            <w:pPr>
              <w:spacing w:before="40" w:after="40"/>
            </w:pPr>
          </w:p>
        </w:tc>
        <w:tc>
          <w:tcPr>
            <w:tcW w:type="dxa" w:w="1417"/>
            <w:tcMar>
              <w:top w:type="dxa" w:w="60"/>
              <w:left w:type="dxa" w:w="110"/>
              <w:bottom w:type="dxa" w:w="60"/>
              <w:right w:type="dxa" w:w="110"/>
            </w:tcMar>
            <w:vAlign w:val="center"/>
          </w:tcPr>
          <w:p>
            <w:pPr>
              <w:spacing w:before="40" w:after="40"/>
            </w:pPr>
          </w:p>
        </w:tc>
      </w:tr>
      <w:tr>
        <w:trPr>
          <w:cantSplit/>
          <w:trHeight w:val="380" w:hRule="atLeast"/>
        </w:trPr>
        <w:tc>
          <w:tcPr>
            <w:tcW w:type="dxa" w:w="530"/>
            <w:shd w:fill="F5F8FB" w:color="auto" w:val="clear"/>
            <w:tcMar>
              <w:top w:type="dxa" w:w="60"/>
              <w:left w:type="dxa" w:w="110"/>
              <w:bottom w:type="dxa" w:w="60"/>
              <w:right w:type="dxa" w:w="110"/>
            </w:tcMar>
            <w:vAlign w:val="center"/>
          </w:tcPr>
          <w:p>
            <w:pPr>
              <w:spacing w:before="40" w:after="40"/>
            </w:pPr>
          </w:p>
        </w:tc>
        <w:tc>
          <w:tcPr>
            <w:tcW w:type="dxa" w:w="2298"/>
            <w:shd w:fill="F5F8FB" w:color="auto" w:val="clear"/>
            <w:tcMar>
              <w:top w:type="dxa" w:w="60"/>
              <w:left w:type="dxa" w:w="110"/>
              <w:bottom w:type="dxa" w:w="60"/>
              <w:right w:type="dxa" w:w="110"/>
            </w:tcMar>
            <w:vAlign w:val="center"/>
          </w:tcPr>
          <w:p>
            <w:pPr>
              <w:spacing w:before="40" w:after="40"/>
            </w:pPr>
          </w:p>
        </w:tc>
        <w:tc>
          <w:tcPr>
            <w:tcW w:type="dxa" w:w="972"/>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061"/>
            <w:shd w:fill="F5F8FB" w:color="auto" w:val="clear"/>
            <w:tcMar>
              <w:top w:type="dxa" w:w="60"/>
              <w:left w:type="dxa" w:w="110"/>
              <w:bottom w:type="dxa" w:w="60"/>
              <w:right w:type="dxa" w:w="110"/>
            </w:tcMar>
            <w:vAlign w:val="center"/>
          </w:tcPr>
          <w:p>
            <w:pPr>
              <w:spacing w:before="40" w:after="40"/>
            </w:pPr>
          </w:p>
        </w:tc>
        <w:tc>
          <w:tcPr>
            <w:tcW w:type="dxa" w:w="14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0"/>
            <w:tcMar>
              <w:top w:type="dxa" w:w="60"/>
              <w:left w:type="dxa" w:w="110"/>
              <w:bottom w:type="dxa" w:w="60"/>
              <w:right w:type="dxa" w:w="110"/>
            </w:tcMar>
            <w:vAlign w:val="center"/>
          </w:tcPr>
          <w:p>
            <w:pPr>
              <w:spacing w:before="40" w:after="40"/>
            </w:pPr>
          </w:p>
        </w:tc>
        <w:tc>
          <w:tcPr>
            <w:tcW w:type="dxa" w:w="2298"/>
            <w:tcMar>
              <w:top w:type="dxa" w:w="60"/>
              <w:left w:type="dxa" w:w="110"/>
              <w:bottom w:type="dxa" w:w="60"/>
              <w:right w:type="dxa" w:w="110"/>
            </w:tcMar>
            <w:vAlign w:val="center"/>
          </w:tcPr>
          <w:p>
            <w:pPr>
              <w:spacing w:before="40" w:after="40"/>
            </w:pPr>
          </w:p>
        </w:tc>
        <w:tc>
          <w:tcPr>
            <w:tcW w:type="dxa" w:w="972"/>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061"/>
            <w:tcMar>
              <w:top w:type="dxa" w:w="60"/>
              <w:left w:type="dxa" w:w="110"/>
              <w:bottom w:type="dxa" w:w="60"/>
              <w:right w:type="dxa" w:w="110"/>
            </w:tcMar>
            <w:vAlign w:val="center"/>
          </w:tcPr>
          <w:p>
            <w:pPr>
              <w:spacing w:before="40" w:after="40"/>
            </w:pPr>
          </w:p>
        </w:tc>
        <w:tc>
          <w:tcPr>
            <w:tcW w:type="dxa" w:w="1417"/>
            <w:tcMar>
              <w:top w:type="dxa" w:w="60"/>
              <w:left w:type="dxa" w:w="110"/>
              <w:bottom w:type="dxa" w:w="60"/>
              <w:right w:type="dxa" w:w="110"/>
            </w:tcMar>
            <w:vAlign w:val="center"/>
          </w:tcPr>
          <w:p>
            <w:pPr>
              <w:spacing w:before="40" w:after="40"/>
            </w:pPr>
          </w:p>
        </w:tc>
      </w:tr>
      <w:tr>
        <w:trPr>
          <w:cantSplit/>
          <w:trHeight w:val="380" w:hRule="atLeast"/>
        </w:trPr>
        <w:tc>
          <w:tcPr>
            <w:tcW w:type="dxa" w:w="530"/>
            <w:shd w:fill="F5F8FB" w:color="auto" w:val="clear"/>
            <w:tcMar>
              <w:top w:type="dxa" w:w="60"/>
              <w:left w:type="dxa" w:w="110"/>
              <w:bottom w:type="dxa" w:w="60"/>
              <w:right w:type="dxa" w:w="110"/>
            </w:tcMar>
            <w:vAlign w:val="center"/>
          </w:tcPr>
          <w:p>
            <w:pPr>
              <w:spacing w:before="40" w:after="40"/>
            </w:pPr>
          </w:p>
        </w:tc>
        <w:tc>
          <w:tcPr>
            <w:tcW w:type="dxa" w:w="2298"/>
            <w:shd w:fill="F5F8FB" w:color="auto" w:val="clear"/>
            <w:tcMar>
              <w:top w:type="dxa" w:w="60"/>
              <w:left w:type="dxa" w:w="110"/>
              <w:bottom w:type="dxa" w:w="60"/>
              <w:right w:type="dxa" w:w="110"/>
            </w:tcMar>
            <w:vAlign w:val="center"/>
          </w:tcPr>
          <w:p>
            <w:pPr>
              <w:spacing w:before="40" w:after="40"/>
            </w:pPr>
          </w:p>
        </w:tc>
        <w:tc>
          <w:tcPr>
            <w:tcW w:type="dxa" w:w="972"/>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061"/>
            <w:shd w:fill="F5F8FB" w:color="auto" w:val="clear"/>
            <w:tcMar>
              <w:top w:type="dxa" w:w="60"/>
              <w:left w:type="dxa" w:w="110"/>
              <w:bottom w:type="dxa" w:w="60"/>
              <w:right w:type="dxa" w:w="110"/>
            </w:tcMar>
            <w:vAlign w:val="center"/>
          </w:tcPr>
          <w:p>
            <w:pPr>
              <w:spacing w:before="40" w:after="40"/>
            </w:pPr>
          </w:p>
        </w:tc>
        <w:tc>
          <w:tcPr>
            <w:tcW w:type="dxa" w:w="14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0"/>
            <w:tcMar>
              <w:top w:type="dxa" w:w="60"/>
              <w:left w:type="dxa" w:w="110"/>
              <w:bottom w:type="dxa" w:w="60"/>
              <w:right w:type="dxa" w:w="110"/>
            </w:tcMar>
            <w:vAlign w:val="center"/>
          </w:tcPr>
          <w:p>
            <w:pPr>
              <w:spacing w:before="40" w:after="40"/>
            </w:pPr>
          </w:p>
        </w:tc>
        <w:tc>
          <w:tcPr>
            <w:tcW w:type="dxa" w:w="2298"/>
            <w:tcMar>
              <w:top w:type="dxa" w:w="60"/>
              <w:left w:type="dxa" w:w="110"/>
              <w:bottom w:type="dxa" w:w="60"/>
              <w:right w:type="dxa" w:w="110"/>
            </w:tcMar>
            <w:vAlign w:val="center"/>
          </w:tcPr>
          <w:p>
            <w:pPr>
              <w:spacing w:before="40" w:after="40"/>
            </w:pPr>
          </w:p>
        </w:tc>
        <w:tc>
          <w:tcPr>
            <w:tcW w:type="dxa" w:w="972"/>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061"/>
            <w:tcMar>
              <w:top w:type="dxa" w:w="60"/>
              <w:left w:type="dxa" w:w="110"/>
              <w:bottom w:type="dxa" w:w="60"/>
              <w:right w:type="dxa" w:w="110"/>
            </w:tcMar>
            <w:vAlign w:val="center"/>
          </w:tcPr>
          <w:p>
            <w:pPr>
              <w:spacing w:before="40" w:after="40"/>
            </w:pPr>
          </w:p>
        </w:tc>
        <w:tc>
          <w:tcPr>
            <w:tcW w:type="dxa" w:w="1417"/>
            <w:tcMar>
              <w:top w:type="dxa" w:w="60"/>
              <w:left w:type="dxa" w:w="110"/>
              <w:bottom w:type="dxa" w:w="60"/>
              <w:right w:type="dxa" w:w="110"/>
            </w:tcMar>
            <w:vAlign w:val="center"/>
          </w:tcPr>
          <w:p>
            <w:pPr>
              <w:spacing w:before="40" w:after="40"/>
            </w:pPr>
          </w:p>
        </w:tc>
      </w:tr>
      <w:tr>
        <w:trPr>
          <w:cantSplit/>
          <w:trHeight w:val="380" w:hRule="atLeast"/>
        </w:trPr>
        <w:tc>
          <w:tcPr>
            <w:tcW w:type="dxa" w:w="530"/>
            <w:shd w:fill="F5F8FB" w:color="auto" w:val="clear"/>
            <w:tcMar>
              <w:top w:type="dxa" w:w="60"/>
              <w:left w:type="dxa" w:w="110"/>
              <w:bottom w:type="dxa" w:w="60"/>
              <w:right w:type="dxa" w:w="110"/>
            </w:tcMar>
            <w:vAlign w:val="center"/>
          </w:tcPr>
          <w:p>
            <w:pPr>
              <w:spacing w:before="40" w:after="40"/>
            </w:pPr>
          </w:p>
        </w:tc>
        <w:tc>
          <w:tcPr>
            <w:tcW w:type="dxa" w:w="2298"/>
            <w:shd w:fill="F5F8FB" w:color="auto" w:val="clear"/>
            <w:tcMar>
              <w:top w:type="dxa" w:w="60"/>
              <w:left w:type="dxa" w:w="110"/>
              <w:bottom w:type="dxa" w:w="60"/>
              <w:right w:type="dxa" w:w="110"/>
            </w:tcMar>
            <w:vAlign w:val="center"/>
          </w:tcPr>
          <w:p>
            <w:pPr>
              <w:spacing w:before="40" w:after="40"/>
            </w:pPr>
          </w:p>
        </w:tc>
        <w:tc>
          <w:tcPr>
            <w:tcW w:type="dxa" w:w="972"/>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061"/>
            <w:shd w:fill="F5F8FB" w:color="auto" w:val="clear"/>
            <w:tcMar>
              <w:top w:type="dxa" w:w="60"/>
              <w:left w:type="dxa" w:w="110"/>
              <w:bottom w:type="dxa" w:w="60"/>
              <w:right w:type="dxa" w:w="110"/>
            </w:tcMar>
            <w:vAlign w:val="center"/>
          </w:tcPr>
          <w:p>
            <w:pPr>
              <w:spacing w:before="40" w:after="40"/>
            </w:pPr>
          </w:p>
        </w:tc>
        <w:tc>
          <w:tcPr>
            <w:tcW w:type="dxa" w:w="14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0"/>
            <w:tcMar>
              <w:top w:type="dxa" w:w="60"/>
              <w:left w:type="dxa" w:w="110"/>
              <w:bottom w:type="dxa" w:w="60"/>
              <w:right w:type="dxa" w:w="110"/>
            </w:tcMar>
            <w:vAlign w:val="center"/>
          </w:tcPr>
          <w:p>
            <w:pPr>
              <w:spacing w:before="40" w:after="40"/>
            </w:pPr>
          </w:p>
        </w:tc>
        <w:tc>
          <w:tcPr>
            <w:tcW w:type="dxa" w:w="2298"/>
            <w:tcMar>
              <w:top w:type="dxa" w:w="60"/>
              <w:left w:type="dxa" w:w="110"/>
              <w:bottom w:type="dxa" w:w="60"/>
              <w:right w:type="dxa" w:w="110"/>
            </w:tcMar>
            <w:vAlign w:val="center"/>
          </w:tcPr>
          <w:p>
            <w:pPr>
              <w:spacing w:before="40" w:after="40"/>
            </w:pPr>
          </w:p>
        </w:tc>
        <w:tc>
          <w:tcPr>
            <w:tcW w:type="dxa" w:w="972"/>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061"/>
            <w:tcMar>
              <w:top w:type="dxa" w:w="60"/>
              <w:left w:type="dxa" w:w="110"/>
              <w:bottom w:type="dxa" w:w="60"/>
              <w:right w:type="dxa" w:w="110"/>
            </w:tcMar>
            <w:vAlign w:val="center"/>
          </w:tcPr>
          <w:p>
            <w:pPr>
              <w:spacing w:before="40" w:after="40"/>
            </w:pPr>
          </w:p>
        </w:tc>
        <w:tc>
          <w:tcPr>
            <w:tcW w:type="dxa" w:w="1417"/>
            <w:tcMar>
              <w:top w:type="dxa" w:w="60"/>
              <w:left w:type="dxa" w:w="110"/>
              <w:bottom w:type="dxa" w:w="60"/>
              <w:right w:type="dxa" w:w="110"/>
            </w:tcMar>
            <w:vAlign w:val="center"/>
          </w:tcPr>
          <w:p>
            <w:pPr>
              <w:spacing w:before="40" w:after="40"/>
            </w:pPr>
          </w:p>
        </w:tc>
      </w:tr>
      <w:tr>
        <w:trPr>
          <w:cantSplit/>
          <w:trHeight w:val="380" w:hRule="atLeast"/>
        </w:trPr>
        <w:tc>
          <w:tcPr>
            <w:tcW w:type="dxa" w:w="530"/>
            <w:shd w:fill="F5F8FB" w:color="auto" w:val="clear"/>
            <w:tcMar>
              <w:top w:type="dxa" w:w="60"/>
              <w:left w:type="dxa" w:w="110"/>
              <w:bottom w:type="dxa" w:w="60"/>
              <w:right w:type="dxa" w:w="110"/>
            </w:tcMar>
            <w:vAlign w:val="center"/>
          </w:tcPr>
          <w:p>
            <w:pPr>
              <w:spacing w:before="40" w:after="40"/>
            </w:pPr>
          </w:p>
        </w:tc>
        <w:tc>
          <w:tcPr>
            <w:tcW w:type="dxa" w:w="2298"/>
            <w:shd w:fill="F5F8FB" w:color="auto" w:val="clear"/>
            <w:tcMar>
              <w:top w:type="dxa" w:w="60"/>
              <w:left w:type="dxa" w:w="110"/>
              <w:bottom w:type="dxa" w:w="60"/>
              <w:right w:type="dxa" w:w="110"/>
            </w:tcMar>
            <w:vAlign w:val="center"/>
          </w:tcPr>
          <w:p>
            <w:pPr>
              <w:spacing w:before="40" w:after="40"/>
            </w:pPr>
          </w:p>
        </w:tc>
        <w:tc>
          <w:tcPr>
            <w:tcW w:type="dxa" w:w="972"/>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061"/>
            <w:shd w:fill="F5F8FB" w:color="auto" w:val="clear"/>
            <w:tcMar>
              <w:top w:type="dxa" w:w="60"/>
              <w:left w:type="dxa" w:w="110"/>
              <w:bottom w:type="dxa" w:w="60"/>
              <w:right w:type="dxa" w:w="110"/>
            </w:tcMar>
            <w:vAlign w:val="center"/>
          </w:tcPr>
          <w:p>
            <w:pPr>
              <w:spacing w:before="40" w:after="40"/>
            </w:pPr>
          </w:p>
        </w:tc>
        <w:tc>
          <w:tcPr>
            <w:tcW w:type="dxa" w:w="14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0"/>
            <w:tcMar>
              <w:top w:type="dxa" w:w="60"/>
              <w:left w:type="dxa" w:w="110"/>
              <w:bottom w:type="dxa" w:w="60"/>
              <w:right w:type="dxa" w:w="110"/>
            </w:tcMar>
            <w:vAlign w:val="center"/>
          </w:tcPr>
          <w:p>
            <w:pPr>
              <w:spacing w:before="40" w:after="40"/>
            </w:pPr>
          </w:p>
        </w:tc>
        <w:tc>
          <w:tcPr>
            <w:tcW w:type="dxa" w:w="2298"/>
            <w:tcMar>
              <w:top w:type="dxa" w:w="60"/>
              <w:left w:type="dxa" w:w="110"/>
              <w:bottom w:type="dxa" w:w="60"/>
              <w:right w:type="dxa" w:w="110"/>
            </w:tcMar>
            <w:vAlign w:val="center"/>
          </w:tcPr>
          <w:p>
            <w:pPr>
              <w:spacing w:before="40" w:after="40"/>
            </w:pPr>
          </w:p>
        </w:tc>
        <w:tc>
          <w:tcPr>
            <w:tcW w:type="dxa" w:w="972"/>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061"/>
            <w:tcMar>
              <w:top w:type="dxa" w:w="60"/>
              <w:left w:type="dxa" w:w="110"/>
              <w:bottom w:type="dxa" w:w="60"/>
              <w:right w:type="dxa" w:w="110"/>
            </w:tcMar>
            <w:vAlign w:val="center"/>
          </w:tcPr>
          <w:p>
            <w:pPr>
              <w:spacing w:before="40" w:after="40"/>
            </w:pPr>
          </w:p>
        </w:tc>
        <w:tc>
          <w:tcPr>
            <w:tcW w:type="dxa" w:w="1417"/>
            <w:tcMar>
              <w:top w:type="dxa" w:w="60"/>
              <w:left w:type="dxa" w:w="110"/>
              <w:bottom w:type="dxa" w:w="60"/>
              <w:right w:type="dxa" w:w="110"/>
            </w:tcMar>
            <w:vAlign w:val="center"/>
          </w:tcPr>
          <w:p>
            <w:pPr>
              <w:spacing w:before="40" w:after="40"/>
            </w:pPr>
          </w:p>
        </w:tc>
      </w:tr>
      <w:tr>
        <w:trPr>
          <w:cantSplit/>
          <w:trHeight w:val="380" w:hRule="atLeast"/>
        </w:trPr>
        <w:tc>
          <w:tcPr>
            <w:tcW w:type="dxa" w:w="530"/>
            <w:shd w:fill="F5F8FB" w:color="auto" w:val="clear"/>
            <w:tcMar>
              <w:top w:type="dxa" w:w="60"/>
              <w:left w:type="dxa" w:w="110"/>
              <w:bottom w:type="dxa" w:w="60"/>
              <w:right w:type="dxa" w:w="110"/>
            </w:tcMar>
            <w:vAlign w:val="center"/>
          </w:tcPr>
          <w:p>
            <w:pPr>
              <w:spacing w:before="40" w:after="40"/>
            </w:pPr>
          </w:p>
        </w:tc>
        <w:tc>
          <w:tcPr>
            <w:tcW w:type="dxa" w:w="2298"/>
            <w:shd w:fill="F5F8FB" w:color="auto" w:val="clear"/>
            <w:tcMar>
              <w:top w:type="dxa" w:w="60"/>
              <w:left w:type="dxa" w:w="110"/>
              <w:bottom w:type="dxa" w:w="60"/>
              <w:right w:type="dxa" w:w="110"/>
            </w:tcMar>
            <w:vAlign w:val="center"/>
          </w:tcPr>
          <w:p>
            <w:pPr>
              <w:spacing w:before="40" w:after="40"/>
            </w:pPr>
          </w:p>
        </w:tc>
        <w:tc>
          <w:tcPr>
            <w:tcW w:type="dxa" w:w="972"/>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680"/>
            <w:shd w:fill="F5F8FB" w:color="auto" w:val="clear"/>
            <w:tcMar>
              <w:top w:type="dxa" w:w="60"/>
              <w:left w:type="dxa" w:w="110"/>
              <w:bottom w:type="dxa" w:w="60"/>
              <w:right w:type="dxa" w:w="110"/>
            </w:tcMar>
            <w:vAlign w:val="center"/>
          </w:tcPr>
          <w:p>
            <w:pPr>
              <w:spacing w:before="40" w:after="40"/>
            </w:pPr>
          </w:p>
        </w:tc>
        <w:tc>
          <w:tcPr>
            <w:tcW w:type="dxa" w:w="1061"/>
            <w:shd w:fill="F5F8FB" w:color="auto" w:val="clear"/>
            <w:tcMar>
              <w:top w:type="dxa" w:w="60"/>
              <w:left w:type="dxa" w:w="110"/>
              <w:bottom w:type="dxa" w:w="60"/>
              <w:right w:type="dxa" w:w="110"/>
            </w:tcMar>
            <w:vAlign w:val="center"/>
          </w:tcPr>
          <w:p>
            <w:pPr>
              <w:spacing w:before="40" w:after="40"/>
            </w:pPr>
          </w:p>
        </w:tc>
        <w:tc>
          <w:tcPr>
            <w:tcW w:type="dxa" w:w="14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30"/>
            <w:tcMar>
              <w:top w:type="dxa" w:w="60"/>
              <w:left w:type="dxa" w:w="110"/>
              <w:bottom w:type="dxa" w:w="60"/>
              <w:right w:type="dxa" w:w="110"/>
            </w:tcMar>
            <w:vAlign w:val="center"/>
          </w:tcPr>
          <w:p>
            <w:pPr>
              <w:spacing w:before="40" w:after="40"/>
            </w:pPr>
          </w:p>
        </w:tc>
        <w:tc>
          <w:tcPr>
            <w:tcW w:type="dxa" w:w="2298"/>
            <w:tcMar>
              <w:top w:type="dxa" w:w="60"/>
              <w:left w:type="dxa" w:w="110"/>
              <w:bottom w:type="dxa" w:w="60"/>
              <w:right w:type="dxa" w:w="110"/>
            </w:tcMar>
            <w:vAlign w:val="center"/>
          </w:tcPr>
          <w:p>
            <w:pPr>
              <w:spacing w:before="40" w:after="40"/>
            </w:pPr>
          </w:p>
        </w:tc>
        <w:tc>
          <w:tcPr>
            <w:tcW w:type="dxa" w:w="972"/>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680"/>
            <w:tcMar>
              <w:top w:type="dxa" w:w="60"/>
              <w:left w:type="dxa" w:w="110"/>
              <w:bottom w:type="dxa" w:w="60"/>
              <w:right w:type="dxa" w:w="110"/>
            </w:tcMar>
            <w:vAlign w:val="center"/>
          </w:tcPr>
          <w:p>
            <w:pPr>
              <w:spacing w:before="40" w:after="40"/>
            </w:pPr>
          </w:p>
        </w:tc>
        <w:tc>
          <w:tcPr>
            <w:tcW w:type="dxa" w:w="1061"/>
            <w:tcMar>
              <w:top w:type="dxa" w:w="60"/>
              <w:left w:type="dxa" w:w="110"/>
              <w:bottom w:type="dxa" w:w="60"/>
              <w:right w:type="dxa" w:w="110"/>
            </w:tcMar>
            <w:vAlign w:val="center"/>
          </w:tcPr>
          <w:p>
            <w:pPr>
              <w:spacing w:before="40" w:after="40"/>
            </w:pPr>
          </w:p>
        </w:tc>
        <w:tc>
          <w:tcPr>
            <w:tcW w:type="dxa" w:w="141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Onay sütununa "Veriyorum" veya "Vermiyorum" yazılır; Karşılık Tercihi sütununa "Ücret", "Serbest zaman" veya "Her talepte" yazılır.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Listeyi Hazırlayan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Departman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Uygunluk Ön Kontrolü (İç Kullanım)</w:t>
      </w:r>
    </w:p>
    <w:p>
      <w:pPr>
        <w:spacing w:after="120" w:before="0" w:line="300"/>
        <w:jc w:val="both"/>
      </w:pPr>
      <w:r>
        <w:rPr>
          <w:rFonts w:ascii="Calibri" w:cs="Calibri" w:eastAsia="Calibri" w:hAnsi="Calibri"/>
          <w:color w:val="3A4A61"/>
          <w:sz w:val="21"/>
          <w:szCs w:val="21"/>
        </w:rPr>
        <w:t xml:space="preserve">Onay alınmış olsa bile aşağıdaki çalışanlara fazla çalışma yaptırılamaz veya ek kısıt vardır. Her çalışan için listeyi kontrol edin; durum değiştiğinde (gebelik bildirimi, sağlık raporu, sözleşme türü değişikliği) kaydı güncelleyin.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58"/>
        <w:gridCol w:w="2029"/>
        <w:gridCol w:w="3551"/>
      </w:tblGrid>
      <w:tr>
        <w:trPr>
          <w:cantSplit/>
          <w:trHeight w:val="400" w:hRule="atLeast"/>
        </w:trPr>
        <w:tc>
          <w:tcPr>
            <w:tcW w:type="dxa" w:w="405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0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355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05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18 yaşından küçük</w:t>
            </w:r>
          </w:p>
        </w:tc>
        <w:tc>
          <w:tcPr>
            <w:tcW w:type="dxa" w:w="20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55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yaptırılamaz</w:t>
            </w:r>
          </w:p>
        </w:tc>
      </w:tr>
      <w:tr>
        <w:trPr>
          <w:cantSplit/>
          <w:trHeight w:val="380" w:hRule="atLeast"/>
        </w:trPr>
        <w:tc>
          <w:tcPr>
            <w:tcW w:type="dxa" w:w="405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Gebe, yeni doğum yapmış veya çocuk emziren</w:t>
            </w:r>
          </w:p>
        </w:tc>
        <w:tc>
          <w:tcPr>
            <w:tcW w:type="dxa" w:w="20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55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Yönetmelikte sayılan dönemlerde yaptırılamaz</w:t>
            </w:r>
          </w:p>
        </w:tc>
      </w:tr>
      <w:tr>
        <w:trPr>
          <w:cantSplit/>
          <w:trHeight w:val="380" w:hRule="atLeast"/>
        </w:trPr>
        <w:tc>
          <w:tcPr>
            <w:tcW w:type="dxa" w:w="405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Kısmi süreli iş sözleşmesi</w:t>
            </w:r>
          </w:p>
        </w:tc>
        <w:tc>
          <w:tcPr>
            <w:tcW w:type="dxa" w:w="20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55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Yönetmeliğe göre fazla çalışma yaptırılamaz</w:t>
            </w:r>
          </w:p>
        </w:tc>
      </w:tr>
      <w:tr>
        <w:trPr>
          <w:cantSplit/>
          <w:trHeight w:val="380" w:hRule="atLeast"/>
        </w:trPr>
        <w:tc>
          <w:tcPr>
            <w:tcW w:type="dxa" w:w="405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Sağlık kuralları gereği günde 7,5 saat veya daha az çalışılan iş</w:t>
            </w:r>
          </w:p>
        </w:tc>
        <w:tc>
          <w:tcPr>
            <w:tcW w:type="dxa" w:w="20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55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Kanunu md. 41; sağlık kuralları bakımından daha az çalışılması gereken işler mevzuatı</w:t>
            </w:r>
          </w:p>
        </w:tc>
      </w:tr>
      <w:tr>
        <w:trPr>
          <w:cantSplit/>
          <w:trHeight w:val="380" w:hRule="atLeast"/>
        </w:trPr>
        <w:tc>
          <w:tcPr>
            <w:tcW w:type="dxa" w:w="405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Yer altı maden işi</w:t>
            </w:r>
          </w:p>
        </w:tc>
        <w:tc>
          <w:tcPr>
            <w:tcW w:type="dxa" w:w="202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55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Yalnızca md. 42 ve 43 halleri</w:t>
            </w:r>
          </w:p>
        </w:tc>
      </w:tr>
      <w:tr>
        <w:trPr>
          <w:cantSplit/>
          <w:trHeight w:val="380" w:hRule="atLeast"/>
        </w:trPr>
        <w:tc>
          <w:tcPr>
            <w:tcW w:type="dxa" w:w="405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çalışmayı sağlık açısından sakıncalı bulan hekim raporu</w:t>
            </w:r>
          </w:p>
        </w:tc>
        <w:tc>
          <w:tcPr>
            <w:tcW w:type="dxa" w:w="202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55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 hekimi görüşü alınır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Yıllık Yenileme ve Arşiv Kontrol Listesi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Onaylar takvim yılının başında, fazla çalışma ihtiyacı doğmadan önce toplandı.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 içinde işe girenlerden onay, işe giriş evrakıyla birlikte ayrı belge olarak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Onay vermeyen veya onayını geri alan çalışanların listesi vardiya planlayıcılara ve yöneticilere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Geri alma bildirimleri tarihleriyle kayda alındı; bildirim süresi yönetmeliğin güncel metninden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İmzalı belgeler (veya toplu listenin ilgili sayfası) her çalışanın özlük dosyasına kondu; taranmış kopyası saklandı.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Fazla çalışma saatleri aylık takip çizelgesine ve ücret hesap pusulasına işleniyor.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Yıllık 270 saat sınırına yaklaşan çalışanlar için uyarı mekanizması kuruldu.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Bir sonraki yılın onay toplama tarihi İK takvimine işlendi.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İK İçin Hatırlatma</w:t>
            </w:r>
          </w:p>
          <w:p>
            <w:pPr>
              <w:spacing w:after="20" w:line="280"/>
            </w:pPr>
            <w:r>
              <w:rPr>
                <w:rFonts w:ascii="Calibri" w:cs="Calibri" w:eastAsia="Calibri" w:hAnsi="Calibri"/>
                <w:color w:val="3A4A61"/>
                <w:sz w:val="19"/>
                <w:szCs w:val="19"/>
              </w:rPr>
              <w:t xml:space="preserve">İş sözleşmesine konan genel bir fazla çalışma onayı hükmü, yıllık ve ayrı bir yazılı onayın yerine güvenle kullanılamaz. Onayın her yıl yenilenmesi, ispat ve idari denetim bakımından en güvenli yoldur. Mevzuatın güncel hali için Fazla Çalışma ve Fazla Sürelerle Çalışma Yönetmeliği'nin yürürlükteki metnini kontrol ediniz.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[İK-FÇ-01]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Fazla Çalışma Yıllık Onay Belgesi (Muvafakatname)</dc:title>
  <dc:creator>İK Partner</dc:creator>
  <dc:description>Fazla Çalışma Yıllık Onay Belgesi (Muvafakatname) — İK Partner (ikpartner.com) ücretsiz İK şablonu</dc:description>
  <cp:lastModifiedBy>Un-named</cp:lastModifiedBy>
  <cp:revision>1</cp:revision>
  <dcterms:created xsi:type="dcterms:W3CDTF">2026-10-13T21:33:26.140Z</dcterms:created>
  <dcterms:modified xsi:type="dcterms:W3CDTF">2026-10-13T21:33:26.140Z</dcterms:modified>
</cp:coreProperties>
</file>

<file path=docProps/custom.xml><?xml version="1.0" encoding="utf-8"?>
<Properties xmlns="http://schemas.openxmlformats.org/officeDocument/2006/custom-properties" xmlns:vt="http://schemas.openxmlformats.org/officeDocument/2006/docPropsVTypes"/>
</file>