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Eşit Davranma İhlali Şikâyetine İşveren Cevap Yazısı</w:t>
      </w:r>
    </w:p>
    <w:p>
      <w:pPr>
        <w:pBdr>
          <w:bottom w:val="single" w:color="13B8A7" w:sz="12" w:space="8"/>
        </w:pBdr>
        <w:spacing w:after="220"/>
      </w:pPr>
      <w:r>
        <w:rPr>
          <w:rFonts w:ascii="Calibri" w:cs="Calibri" w:eastAsia="Calibri" w:hAnsi="Calibri"/>
          <w:color w:val="5A6B82"/>
          <w:sz w:val="21"/>
          <w:szCs w:val="21"/>
        </w:rPr>
        <w:t xml:space="preserve">Ayrımcılık, eşit ücret veya hamilelik nedeniyle farklı muamele şikâyetine işverenin yazılı cevabı; seçenekli paragraflar, iç inceleme formu ve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p>
    <w:p>
      <w:pPr>
        <w:spacing w:after="120" w:before="0" w:line="300"/>
        <w:jc w:val="right"/>
      </w:pPr>
      <w:r>
        <w:rPr>
          <w:rFonts w:ascii="Calibri" w:cs="Calibri" w:eastAsia="Calibri" w:hAnsi="Calibri"/>
          <w:b/>
          <w:bCs/>
          <w:color w:val="3A4A61"/>
          <w:sz w:val="21"/>
          <w:szCs w:val="21"/>
        </w:rPr>
        <w:t xml:space="preserve">GİZLİDİR – KİŞİYE ÖZEL</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 / Görevi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Tebligat Adresi / E-posta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Şikâyet Tarihi ve Kanalı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Eşit davranma ilkesine aykırılık iddiasını içeren başvurunuz hk.</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başvurunuzda, </w:t>
      </w:r>
      <w:r>
        <w:rPr>
          <w:rFonts w:ascii="Calibri" w:cs="Calibri" w:eastAsia="Calibri" w:hAnsi="Calibri"/>
          <w:color w:val="1D5888"/>
          <w:sz w:val="21"/>
          <w:szCs w:val="21"/>
          <w:shd w:fill="EAF1F8" w:color="auto" w:val="clear"/>
        </w:rPr>
        <w:t xml:space="preserve">[ücret / prim / terfi / görevlendirme / eğitim / fesih / diğer]</w:t>
      </w:r>
      <w:r>
        <w:rPr>
          <w:rFonts w:ascii="Calibri" w:cs="Calibri" w:eastAsia="Calibri" w:hAnsi="Calibri"/>
          <w:color w:val="3A4A61"/>
          <w:sz w:val="21"/>
          <w:szCs w:val="21"/>
        </w:rPr>
        <w:t xml:space="preserve"> konusunda [cinsiyet / gebelik / yaş / engellilik / din / siyasal düşünce / sözleşme türü / diğer] nedeniyle emsal çalışanlardan farklı muameleye tabi tutulduğunuzu ileri sürdünüz. Başvurunuz ciddiyetle ele alınmış ve </w:t>
      </w:r>
      <w:r>
        <w:rPr>
          <w:rFonts w:ascii="Calibri" w:cs="Calibri" w:eastAsia="Calibri" w:hAnsi="Calibri"/>
          <w:color w:val="1D5888"/>
          <w:sz w:val="21"/>
          <w:szCs w:val="21"/>
          <w:shd w:fill="EAF1F8" w:color="auto" w:val="clear"/>
        </w:rPr>
        <w:t xml:space="preserve">[İnceleme Sorumlusu / Kurul]</w:t>
      </w:r>
      <w:r>
        <w:rPr>
          <w:rFonts w:ascii="Calibri" w:cs="Calibri" w:eastAsia="Calibri" w:hAnsi="Calibri"/>
          <w:color w:val="3A4A61"/>
          <w:sz w:val="21"/>
          <w:szCs w:val="21"/>
        </w:rPr>
        <w:t xml:space="preserve"> tarafından incelenmiştir. İncelemede [ücret ve bordro kayıtları, görev tanımları, performans değerlendirmeleri, terfi kararları, ilgili yazışmalar ve görüşme notları] değerlendirilmiştir.</w:t>
      </w:r>
    </w:p>
    <w:p>
      <w:pPr>
        <w:keepNext/>
        <w:pBdr>
          <w:bottom w:val="single" w:color="DCE4EE" w:sz="6" w:space="4"/>
        </w:pBdr>
        <w:spacing w:before="280" w:after="120"/>
      </w:pPr>
      <w:r>
        <w:rPr>
          <w:rFonts w:ascii="Calibri" w:cs="Calibri" w:eastAsia="Calibri" w:hAnsi="Calibri"/>
          <w:b/>
          <w:bCs/>
          <w:color w:val="0E2849"/>
          <w:sz w:val="25"/>
          <w:szCs w:val="25"/>
        </w:rPr>
        <w:t xml:space="preserve">Seçenek 1 – İnceleme Sürüyor (Ara Cevap)</w:t>
      </w:r>
    </w:p>
    <w:p>
      <w:pPr>
        <w:spacing w:after="120" w:before="0" w:line="300"/>
        <w:jc w:val="both"/>
      </w:pPr>
      <w:r>
        <w:rPr>
          <w:rFonts w:ascii="Calibri" w:cs="Calibri" w:eastAsia="Calibri" w:hAnsi="Calibri"/>
          <w:color w:val="3A4A61"/>
          <w:sz w:val="21"/>
          <w:szCs w:val="21"/>
        </w:rPr>
        <w:t xml:space="preserve">Başvurunuz kayda alınmış ve inceleme başlatılmıştır. İnceleme kapsamında sizinle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görüşme yapılması planlanmaktadır. Varsa iddianızı destekleyen belge ve bilgileri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tarihine kadar iletebilirsiniz. İncelemenin sonucu en geç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yazılı olarak bildirilecektir.</w:t>
      </w:r>
    </w:p>
    <w:p>
      <w:pPr>
        <w:keepNext/>
        <w:pBdr>
          <w:bottom w:val="single" w:color="DCE4EE" w:sz="6" w:space="4"/>
        </w:pBdr>
        <w:spacing w:before="280" w:after="120"/>
      </w:pPr>
      <w:r>
        <w:rPr>
          <w:rFonts w:ascii="Calibri" w:cs="Calibri" w:eastAsia="Calibri" w:hAnsi="Calibri"/>
          <w:b/>
          <w:bCs/>
          <w:color w:val="0E2849"/>
          <w:sz w:val="25"/>
          <w:szCs w:val="25"/>
        </w:rPr>
        <w:t xml:space="preserve">Seçenek 2 – İddianın Kabulü ve Düzeltici Önlemler</w:t>
      </w:r>
    </w:p>
    <w:p>
      <w:pPr>
        <w:spacing w:after="120" w:before="0" w:line="300"/>
        <w:jc w:val="both"/>
      </w:pPr>
      <w:r>
        <w:rPr>
          <w:rFonts w:ascii="Calibri" w:cs="Calibri" w:eastAsia="Calibri" w:hAnsi="Calibri"/>
          <w:color w:val="3A4A61"/>
          <w:sz w:val="21"/>
          <w:szCs w:val="21"/>
        </w:rPr>
        <w:t xml:space="preserve">İnceleme sonucunda </w:t>
      </w:r>
      <w:r>
        <w:rPr>
          <w:rFonts w:ascii="Calibri" w:cs="Calibri" w:eastAsia="Calibri" w:hAnsi="Calibri"/>
          <w:color w:val="1D5888"/>
          <w:sz w:val="21"/>
          <w:szCs w:val="21"/>
          <w:shd w:fill="EAF1F8" w:color="auto" w:val="clear"/>
        </w:rPr>
        <w:t xml:space="preserve">[konu]</w:t>
      </w:r>
      <w:r>
        <w:rPr>
          <w:rFonts w:ascii="Calibri" w:cs="Calibri" w:eastAsia="Calibri" w:hAnsi="Calibri"/>
          <w:color w:val="3A4A61"/>
          <w:sz w:val="21"/>
          <w:szCs w:val="21"/>
        </w:rPr>
        <w:t xml:space="preserve"> bakımından objektif bir gerekçeyle açıklanamayan bir fark bulunduğu tespit edilmiştir. Bu nedenle: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Ücretiniz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tarihinden geçerli olmak üzere brüt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olarak düzeltilecek; geçmiş döneme ait brüt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fark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ek bordro ile ödenecektir.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[Terfi / görevlendirme / eğitim]</w:t>
      </w:r>
      <w:r>
        <w:rPr>
          <w:rFonts w:ascii="Calibri" w:cs="Calibri" w:eastAsia="Calibri" w:hAnsi="Calibri"/>
          <w:color w:val="3A4A61"/>
          <w:sz w:val="21"/>
          <w:szCs w:val="21"/>
        </w:rPr>
        <w:t xml:space="preserve"> değerlendirmesi objektif kriterlerle yeniden yapılacaktır.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İlgili yöneticiler hakkında iç mevzuatımız kapsamında gerekli işlem başlatılmıştır.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Benzer durumların önlenmesi için </w:t>
      </w:r>
      <w:r>
        <w:rPr>
          <w:rFonts w:ascii="Calibri" w:cs="Calibri" w:eastAsia="Calibri" w:hAnsi="Calibri"/>
          <w:color w:val="1D5888"/>
          <w:sz w:val="21"/>
          <w:szCs w:val="21"/>
          <w:shd w:fill="EAF1F8" w:color="auto" w:val="clear"/>
        </w:rPr>
        <w:t xml:space="preserve">[ücret bandı / değerlendirme kriterleri / eğitim]</w:t>
      </w:r>
      <w:r>
        <w:rPr>
          <w:rFonts w:ascii="Calibri" w:cs="Calibri" w:eastAsia="Calibri" w:hAnsi="Calibri"/>
          <w:color w:val="3A4A61"/>
          <w:sz w:val="21"/>
          <w:szCs w:val="21"/>
        </w:rPr>
        <w:t xml:space="preserve"> düzenlemesi yapılacaktır.</w:t>
      </w:r>
    </w:p>
    <w:p>
      <w:pPr>
        <w:keepNext/>
        <w:pBdr>
          <w:bottom w:val="single" w:color="DCE4EE" w:sz="6" w:space="4"/>
        </w:pBdr>
        <w:spacing w:before="280" w:after="120"/>
      </w:pPr>
      <w:r>
        <w:rPr>
          <w:rFonts w:ascii="Calibri" w:cs="Calibri" w:eastAsia="Calibri" w:hAnsi="Calibri"/>
          <w:b/>
          <w:bCs/>
          <w:color w:val="0E2849"/>
          <w:sz w:val="25"/>
          <w:szCs w:val="25"/>
        </w:rPr>
        <w:t xml:space="preserve">Seçenek 3 – İddianın Reddi ve Objektif Gerekçeler</w:t>
      </w:r>
    </w:p>
    <w:p>
      <w:pPr>
        <w:spacing w:after="120" w:before="0" w:line="300"/>
        <w:jc w:val="both"/>
      </w:pPr>
      <w:r>
        <w:rPr>
          <w:rFonts w:ascii="Calibri" w:cs="Calibri" w:eastAsia="Calibri" w:hAnsi="Calibri"/>
          <w:color w:val="3A4A61"/>
          <w:sz w:val="21"/>
          <w:szCs w:val="21"/>
        </w:rPr>
        <w:t xml:space="preserve">İnceleme sonucunda, belirttiğiniz farkın iddia edilen nedene değil aşağıdaki objektif ve ölçülebilir gerekçelere dayandığı tespit edilmiştir: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1927"/>
        <w:gridCol w:w="1927"/>
        <w:gridCol w:w="2893"/>
      </w:tblGrid>
      <w:tr>
        <w:trPr>
          <w:cantSplit/>
          <w:trHeight w:val="400" w:hRule="atLeast"/>
        </w:trPr>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Karşılaştırma Ölçütü</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Sizin Durumunuz</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Karşılaştırılan Emsal(ler)</w:t>
            </w:r>
          </w:p>
        </w:tc>
        <w:tc>
          <w:tcPr>
            <w:tcW w:type="dxa" w:w="289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tanımı / sorumluluk düzeyi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89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 mesleki deneyim</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89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 sertifika / yetkinlik</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89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Performans değerlendirme sonucu</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89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bandı / skala basamağı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89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bl>
    <w:p>
      <w:pPr>
        <w:spacing w:after="120" w:before="0"/>
      </w:pPr>
    </w:p>
    <w:p>
      <w:pPr>
        <w:spacing w:after="120" w:before="0" w:line="300"/>
        <w:jc w:val="both"/>
      </w:pPr>
      <w:r>
        <w:rPr>
          <w:rFonts w:ascii="Calibri" w:cs="Calibri" w:eastAsia="Calibri" w:hAnsi="Calibri"/>
          <w:color w:val="3A4A61"/>
          <w:sz w:val="21"/>
          <w:szCs w:val="21"/>
        </w:rPr>
        <w:t xml:space="preserve">Bu ölçütler aynı pozisyondaki tüm çalışanlara aynı şekilde uygulanmaktadır. Değerlendirmemize katılmamanız halinde, gerekçelerinizi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tarihine kadar yazılı olarak iletmeniz halinde dosya yeniden gözden geçirilecektir.</w:t>
      </w:r>
    </w:p>
    <w:p>
      <w:pPr>
        <w:keepNext/>
        <w:pBdr>
          <w:bottom w:val="single" w:color="DCE4EE" w:sz="6" w:space="4"/>
        </w:pBdr>
        <w:spacing w:before="280" w:after="120"/>
      </w:pPr>
      <w:r>
        <w:rPr>
          <w:rFonts w:ascii="Calibri" w:cs="Calibri" w:eastAsia="Calibri" w:hAnsi="Calibri"/>
          <w:b/>
          <w:bCs/>
          <w:color w:val="0E2849"/>
          <w:sz w:val="25"/>
          <w:szCs w:val="25"/>
        </w:rPr>
        <w:t xml:space="preserve">Ortak Kapanış</w:t>
      </w:r>
    </w:p>
    <w:p>
      <w:pPr>
        <w:spacing w:after="120" w:before="0" w:line="300"/>
        <w:jc w:val="both"/>
      </w:pPr>
      <w:r>
        <w:rPr>
          <w:rFonts w:ascii="Calibri" w:cs="Calibri" w:eastAsia="Calibri" w:hAnsi="Calibri"/>
          <w:color w:val="3A4A61"/>
          <w:sz w:val="21"/>
          <w:szCs w:val="21"/>
        </w:rPr>
        <w:t xml:space="preserve">Şirketimiz iş ilişkisinde dil, ırk, renk, cinsiyet, engellilik, siyasal düşünce, felsefi inanç, din ve mezhep ve benzeri sebeplere dayalı ayrım yapmama ilkesine bağlıdır. Başvurunuz veya bu konuda resmî mercilere başvurmanız nedeniyle hakkınızda olumsuz hiçbir işlem yapılmayacak; başvuruya ilişkin bilgiler yalnızca inceleme ile görevli kişilerce gizlilik içinde kullanılacaktır. Saygılarımızla.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Tebellüğ: Bu yazının bir nüshasını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aldım. İmza: ............................</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İç İnceleme Formu (Gizli – İç Kullanım)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Dosya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Şikâyetçi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Şikâyet Edilen Kişi / Uygulama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İddia Edilen Ayrım Nedeni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İddia Edilen Farklı Muamele</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İncelemeyi Yürüten(ler)</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İnceleme Başlangıç / Bitiş</w:t>
            </w:r>
          </w:p>
        </w:tc>
        <w:tc>
          <w:tcPr>
            <w:tcW w:type="dxa" w:w="6747"/>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927"/>
        <w:gridCol w:w="2891"/>
        <w:gridCol w:w="4820"/>
      </w:tblGrid>
      <w:tr>
        <w:trPr>
          <w:cantSplit/>
          <w:trHeight w:val="400" w:hRule="atLeast"/>
        </w:trPr>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Görüşülen / İncelenen</w:t>
            </w:r>
          </w:p>
        </w:tc>
        <w:tc>
          <w:tcPr>
            <w:tcW w:type="dxa" w:w="482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Özet Bulgu</w:t>
            </w:r>
          </w:p>
        </w:tc>
      </w:tr>
      <w:tr>
        <w:trPr>
          <w:cantSplit/>
          <w:trHeight w:val="380" w:hRule="atLeast"/>
        </w:trPr>
        <w:tc>
          <w:tcPr>
            <w:tcW w:type="dxa" w:w="1927"/>
            <w:tcMar>
              <w:top w:type="dxa" w:w="60"/>
              <w:left w:type="dxa" w:w="110"/>
              <w:bottom w:type="dxa" w:w="60"/>
              <w:right w:type="dxa" w:w="110"/>
            </w:tcMar>
            <w:vAlign w:val="center"/>
          </w:tcPr>
          <w:p>
            <w:pPr>
              <w:spacing w:before="40" w:after="40"/>
            </w:pPr>
          </w:p>
        </w:tc>
        <w:tc>
          <w:tcPr>
            <w:tcW w:type="dxa" w:w="2891"/>
            <w:tcMar>
              <w:top w:type="dxa" w:w="60"/>
              <w:left w:type="dxa" w:w="110"/>
              <w:bottom w:type="dxa" w:w="60"/>
              <w:right w:type="dxa" w:w="110"/>
            </w:tcMar>
            <w:vAlign w:val="center"/>
          </w:tcPr>
          <w:p>
            <w:pPr>
              <w:spacing w:before="40" w:after="40"/>
            </w:pPr>
          </w:p>
        </w:tc>
        <w:tc>
          <w:tcPr>
            <w:tcW w:type="dxa" w:w="4820"/>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p>
        </w:tc>
        <w:tc>
          <w:tcPr>
            <w:tcW w:type="dxa" w:w="2891"/>
            <w:shd w:fill="F5F8FB" w:color="auto" w:val="clear"/>
            <w:tcMar>
              <w:top w:type="dxa" w:w="60"/>
              <w:left w:type="dxa" w:w="110"/>
              <w:bottom w:type="dxa" w:w="60"/>
              <w:right w:type="dxa" w:w="110"/>
            </w:tcMar>
            <w:vAlign w:val="center"/>
          </w:tcPr>
          <w:p>
            <w:pPr>
              <w:spacing w:before="40" w:after="40"/>
            </w:pPr>
          </w:p>
        </w:tc>
        <w:tc>
          <w:tcPr>
            <w:tcW w:type="dxa" w:w="482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927"/>
            <w:tcMar>
              <w:top w:type="dxa" w:w="60"/>
              <w:left w:type="dxa" w:w="110"/>
              <w:bottom w:type="dxa" w:w="60"/>
              <w:right w:type="dxa" w:w="110"/>
            </w:tcMar>
            <w:vAlign w:val="center"/>
          </w:tcPr>
          <w:p>
            <w:pPr>
              <w:spacing w:before="40" w:after="40"/>
            </w:pPr>
          </w:p>
        </w:tc>
        <w:tc>
          <w:tcPr>
            <w:tcW w:type="dxa" w:w="2891"/>
            <w:tcMar>
              <w:top w:type="dxa" w:w="60"/>
              <w:left w:type="dxa" w:w="110"/>
              <w:bottom w:type="dxa" w:w="60"/>
              <w:right w:type="dxa" w:w="110"/>
            </w:tcMar>
            <w:vAlign w:val="center"/>
          </w:tcPr>
          <w:p>
            <w:pPr>
              <w:spacing w:before="40" w:after="40"/>
            </w:pPr>
          </w:p>
        </w:tc>
        <w:tc>
          <w:tcPr>
            <w:tcW w:type="dxa" w:w="4820"/>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p>
        </w:tc>
        <w:tc>
          <w:tcPr>
            <w:tcW w:type="dxa" w:w="2891"/>
            <w:shd w:fill="F5F8FB" w:color="auto" w:val="clear"/>
            <w:tcMar>
              <w:top w:type="dxa" w:w="60"/>
              <w:left w:type="dxa" w:w="110"/>
              <w:bottom w:type="dxa" w:w="60"/>
              <w:right w:type="dxa" w:w="110"/>
            </w:tcMar>
            <w:vAlign w:val="center"/>
          </w:tcPr>
          <w:p>
            <w:pPr>
              <w:spacing w:before="40" w:after="40"/>
            </w:pPr>
          </w:p>
        </w:tc>
        <w:tc>
          <w:tcPr>
            <w:tcW w:type="dxa" w:w="482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927"/>
            <w:tcMar>
              <w:top w:type="dxa" w:w="60"/>
              <w:left w:type="dxa" w:w="110"/>
              <w:bottom w:type="dxa" w:w="60"/>
              <w:right w:type="dxa" w:w="110"/>
            </w:tcMar>
            <w:vAlign w:val="center"/>
          </w:tcPr>
          <w:p>
            <w:pPr>
              <w:spacing w:before="40" w:after="40"/>
            </w:pPr>
          </w:p>
        </w:tc>
        <w:tc>
          <w:tcPr>
            <w:tcW w:type="dxa" w:w="2891"/>
            <w:tcMar>
              <w:top w:type="dxa" w:w="60"/>
              <w:left w:type="dxa" w:w="110"/>
              <w:bottom w:type="dxa" w:w="60"/>
              <w:right w:type="dxa" w:w="110"/>
            </w:tcMar>
            <w:vAlign w:val="center"/>
          </w:tcPr>
          <w:p>
            <w:pPr>
              <w:spacing w:before="40" w:after="40"/>
            </w:pPr>
          </w:p>
        </w:tc>
        <w:tc>
          <w:tcPr>
            <w:tcW w:type="dxa" w:w="482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Sonuç Değerlendirmesi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İddia doğrulandı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İddia kısmen doğrulandı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İddia doğrulanmadı – objektif gerekçe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 inceleme gerekli</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İncelemeyi Yürüten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Şikâyet tarih ve sayı ile kayda alındı; incelemeyi yürütecek kişi şikâyet konusu kararla ilgisi olmayan biri olarak seçildi.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Emsal çalışan(lar) aynı veya eşit değerde iş yapan kişiler arasından belirlendi; görev tanımları karşılaştırıldı.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farkı iddiasında ücret bandı, kıdem, performans ve piyasa verisi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Gebelik / doğum iddiasında izin, görev değişikliği ve performans kayıtları tarih sırasıyla incelendi.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Şikâyetçi ve tanıklarla yapılan görüşmeler tutanağa bağlandı ve imzalatıldı.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Sağlık, gebelik, engellilik, din gibi özel nitelikli kişisel veriler yalnızca gerekli ölçüde ve erişimi sınırlı dosyada tutuldu.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Şikâyetçiye karşı misilleme sayılabilecek görev, vardiya, ücret veya fesih işlemi yapılmaması için yöneticiler uyarıldı.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Resmî bir mercie (iş müfettişi, Türkiye İnsan Hakları ve Eşitlik Kurumu vb.) yapılmış başvuru varsa cevap süreleri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Düzeltici önlem kararlaştırıldıysa uygulanma tarihi ve sorumlusu belirlendi.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KVKK Notu</w:t>
            </w:r>
          </w:p>
          <w:p>
            <w:pPr>
              <w:spacing w:after="20" w:line="280"/>
            </w:pPr>
            <w:r>
              <w:rPr>
                <w:rFonts w:ascii="Calibri" w:cs="Calibri" w:eastAsia="Calibri" w:hAnsi="Calibri"/>
                <w:color w:val="3A4A61"/>
                <w:sz w:val="19"/>
                <w:szCs w:val="19"/>
              </w:rPr>
              <w:t xml:space="preserve">Bu formda yer alan sağlık, gebelik, engellilik, din ve benzeri bilgiler 6698 sayılı KVKK kapsamında özel nitelikli kişisel veridir. Yalnızca şikâyetin incelenmesi ve hukuki yükümlülüklerin yerine getirilmesi amacıyla, gerekli olduğu ölçüde işlenmeli; erişim inceleme ekibiyle sınırlandırılmalıdır. Sağlık raporları işyeri hekimi gizliliğine tabidir ve bu dosyaya yalnızca gerekli sonuç bilgisi alınmalıdır.</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Hukuki Hatırlatma</w:t>
            </w:r>
          </w:p>
          <w:p>
            <w:pPr>
              <w:spacing w:after="20" w:line="280"/>
            </w:pPr>
            <w:r>
              <w:rPr>
                <w:rFonts w:ascii="Calibri" w:cs="Calibri" w:eastAsia="Calibri" w:hAnsi="Calibri"/>
                <w:color w:val="3A4A61"/>
                <w:sz w:val="19"/>
                <w:szCs w:val="19"/>
              </w:rPr>
              <w:t xml:space="preserve">İş Kanunu md. 5'e aykırılık halinde işçi, dört aya kadar ücreti tutarındaki uygun bir tazminattan başka yoksun bırakıldığı hakları da talep edebilir. İhlali kural olarak işçi ispat eder; ancak işçi ihlal ihtimalini güçlü biçimde gösteren bir durum ortaya koyarsa işveren ihlalin bulunmadığını ispatla yükümlü olur. Bu şablon genel bilgilendirme amaçlıdır; dava veya resmî inceleme riski olan dosyalarda hukuk danışmanınızla uyarlayınız.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CEVAP YAZISI ŞABLONU</w:t>
          </w:r>
          <w:r>
            <w:rPr>
              <w:rFonts w:ascii="Calibri" w:cs="Calibri" w:eastAsia="Calibri" w:hAnsi="Calibri"/>
              <w:color w:val="8C9BB0"/>
              <w:sz w:val="16"/>
              <w:szCs w:val="16"/>
            </w:rPr>
            <w:t xml:space="preserve">  ·  Form No: [İK-C-03]</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Eşit Davranma İhlali Şikâyetine İşveren Cevap Yazısı</dc:title>
  <dc:creator>İK Partner</dc:creator>
  <dc:description>Eşit Davranma İhlali Şikâyetine İşveren Cevap Yazısı — İK Partner (ikpartner.com) ücretsiz İK şablonu</dc:description>
  <cp:lastModifiedBy>Un-named</cp:lastModifiedBy>
  <cp:revision>1</cp:revision>
  <dcterms:created xsi:type="dcterms:W3CDTF">2026-10-13T21:32:34.237Z</dcterms:created>
  <dcterms:modified xsi:type="dcterms:W3CDTF">2026-10-13T21:32:34.237Z</dcterms:modified>
</cp:coreProperties>
</file>

<file path=docProps/custom.xml><?xml version="1.0" encoding="utf-8"?>
<Properties xmlns="http://schemas.openxmlformats.org/officeDocument/2006/custom-properties" xmlns:vt="http://schemas.openxmlformats.org/officeDocument/2006/docPropsVTypes"/>
</file>