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Eğitim Talep ve Onay Formu</w:t>
      </w:r>
    </w:p>
    <w:p>
      <w:pPr>
        <w:pBdr>
          <w:bottom w:val="single" w:color="13B8A7" w:sz="12" w:space="8"/>
        </w:pBdr>
        <w:spacing w:after="220"/>
      </w:pPr>
      <w:r>
        <w:rPr>
          <w:rFonts w:ascii="Calibri" w:cs="Calibri" w:eastAsia="Calibri" w:hAnsi="Calibri"/>
          <w:color w:val="5A6B82"/>
          <w:sz w:val="21"/>
          <w:szCs w:val="21"/>
        </w:rPr>
        <w:t xml:space="preserve">Dış eğitim, sertifika programı, konferans veya online kurs katılım talebi; maliyet, çalışma süresi, eğitim gideri taahhüdü ve onay akışı.</w:t>
      </w:r>
    </w:p>
    <w:p>
      <w:pPr>
        <w:keepNext/>
        <w:pBdr>
          <w:bottom w:val="single" w:color="DCE4EE" w:sz="6" w:space="4"/>
        </w:pBdr>
        <w:spacing w:before="280" w:after="120"/>
      </w:pPr>
      <w:r>
        <w:rPr>
          <w:rFonts w:ascii="Calibri" w:cs="Calibri" w:eastAsia="Calibri" w:hAnsi="Calibri"/>
          <w:b/>
          <w:bCs/>
          <w:color w:val="0E2849"/>
          <w:sz w:val="25"/>
          <w:szCs w:val="25"/>
        </w:rPr>
        <w:t xml:space="preserve">1. Talep Eden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Eğitim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Eğitimin / Programın 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Eğitimi Veren Kurum</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Başlangıç – Bitiş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Süre (saat / gün)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 / Şehir / Ülke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Program Bağlantısı veya Broşür</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Eğitim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süreli kurs / atölye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Sertifika programı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Konferans / kongre / fuar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Online (canlı) eğitim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Online (kendi hızında) kurs</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Mesleki yeterlilik veya uluslararası sertifika sınavı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Lisansüstü / uzun süreli program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Katılım biçimi: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Yüz yüze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Karma</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3. Gerekçe ve İşe Katkı</w:t>
      </w:r>
    </w:p>
    <w:p>
      <w:pPr>
        <w:spacing w:after="120" w:before="0" w:line="300"/>
        <w:jc w:val="both"/>
      </w:pPr>
      <w:r>
        <w:rPr>
          <w:rFonts w:ascii="Calibri" w:cs="Calibri" w:eastAsia="Calibri" w:hAnsi="Calibri"/>
          <w:color w:val="3A4A61"/>
          <w:sz w:val="21"/>
          <w:szCs w:val="21"/>
        </w:rPr>
        <w:t xml:space="preserve">Bu eğitim hangi iş ihtiyacına, yetkinlik açığına veya hedefe karşılık geliyor? (Varsa eğitim ihtiyaç analizi, performans değerlendirmesi veya bireysel gelişim planı maddesini belirtin.)</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3614"/>
        <w:gridCol w:w="2410"/>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Kazanım</w:t>
            </w:r>
          </w:p>
        </w:tc>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İşte Nasıl Uygulanacak?</w:t>
            </w:r>
          </w:p>
        </w:tc>
        <w:tc>
          <w:tcPr>
            <w:tcW w:type="dxa" w:w="24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Ölçüt / Gösterge</w:t>
            </w:r>
          </w:p>
        </w:tc>
      </w:tr>
      <w:tr>
        <w:trPr>
          <w:cantSplit/>
          <w:trHeight w:val="380" w:hRule="atLeast"/>
        </w:trPr>
        <w:tc>
          <w:tcPr>
            <w:tcW w:type="dxa" w:w="3614"/>
            <w:tcMar>
              <w:top w:type="dxa" w:w="60"/>
              <w:left w:type="dxa" w:w="110"/>
              <w:bottom w:type="dxa" w:w="60"/>
              <w:right w:type="dxa" w:w="110"/>
            </w:tcMar>
            <w:vAlign w:val="center"/>
          </w:tcPr>
          <w:p>
            <w:pPr>
              <w:spacing w:before="40" w:after="40"/>
            </w:pPr>
          </w:p>
        </w:tc>
        <w:tc>
          <w:tcPr>
            <w:tcW w:type="dxa" w:w="3614"/>
            <w:tcMar>
              <w:top w:type="dxa" w:w="60"/>
              <w:left w:type="dxa" w:w="110"/>
              <w:bottom w:type="dxa" w:w="60"/>
              <w:right w:type="dxa" w:w="110"/>
            </w:tcMar>
            <w:vAlign w:val="center"/>
          </w:tcPr>
          <w:p>
            <w:pPr>
              <w:spacing w:before="40" w:after="40"/>
            </w:pPr>
          </w:p>
        </w:tc>
        <w:tc>
          <w:tcPr>
            <w:tcW w:type="dxa" w:w="2410"/>
            <w:tcMar>
              <w:top w:type="dxa" w:w="60"/>
              <w:left w:type="dxa" w:w="110"/>
              <w:bottom w:type="dxa" w:w="60"/>
              <w:right w:type="dxa" w:w="110"/>
            </w:tcMar>
            <w:vAlign w:val="center"/>
          </w:tcPr>
          <w:p>
            <w:pPr>
              <w:spacing w:before="40" w:after="40"/>
            </w:pP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p>
        </w:tc>
        <w:tc>
          <w:tcPr>
            <w:tcW w:type="dxa" w:w="3614"/>
            <w:shd w:fill="F5F8FB" w:color="auto" w:val="clear"/>
            <w:tcMar>
              <w:top w:type="dxa" w:w="60"/>
              <w:left w:type="dxa" w:w="110"/>
              <w:bottom w:type="dxa" w:w="60"/>
              <w:right w:type="dxa" w:w="110"/>
            </w:tcMar>
            <w:vAlign w:val="center"/>
          </w:tcPr>
          <w:p>
            <w:pPr>
              <w:spacing w:before="40" w:after="40"/>
            </w:pPr>
          </w:p>
        </w:tc>
        <w:tc>
          <w:tcPr>
            <w:tcW w:type="dxa" w:w="241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614"/>
            <w:tcMar>
              <w:top w:type="dxa" w:w="60"/>
              <w:left w:type="dxa" w:w="110"/>
              <w:bottom w:type="dxa" w:w="60"/>
              <w:right w:type="dxa" w:w="110"/>
            </w:tcMar>
            <w:vAlign w:val="center"/>
          </w:tcPr>
          <w:p>
            <w:pPr>
              <w:spacing w:before="40" w:after="40"/>
            </w:pPr>
          </w:p>
        </w:tc>
        <w:tc>
          <w:tcPr>
            <w:tcW w:type="dxa" w:w="3614"/>
            <w:tcMar>
              <w:top w:type="dxa" w:w="60"/>
              <w:left w:type="dxa" w:w="110"/>
              <w:bottom w:type="dxa" w:w="60"/>
              <w:right w:type="dxa" w:w="110"/>
            </w:tcMar>
            <w:vAlign w:val="center"/>
          </w:tcPr>
          <w:p>
            <w:pPr>
              <w:spacing w:before="40" w:after="40"/>
            </w:pPr>
          </w:p>
        </w:tc>
        <w:tc>
          <w:tcPr>
            <w:tcW w:type="dxa" w:w="241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Bilgi paylaşımı taahhüdü: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sonrası ekibe sunum / bilgilendirme yapacağım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notlarını ve materyallerini ortak klasöre yükleyeceğim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İç eğitmen olarak benzer bir eğitim vereceğim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Paylaşım gerekmiyor (gerekçe: </w:t>
      </w:r>
      <w:r>
        <w:rPr>
          <w:rFonts w:ascii="Calibri" w:cs="Calibri" w:eastAsia="Calibri" w:hAnsi="Calibri"/>
          <w:color w:val="1D5888"/>
          <w:sz w:val="21"/>
          <w:szCs w:val="21"/>
          <w:shd w:fill="EAF1F8" w:color="auto" w:val="clear"/>
        </w:rPr>
        <w:t xml:space="preserve">[__________]</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0E2849"/>
          <w:sz w:val="25"/>
          <w:szCs w:val="25"/>
        </w:rPr>
        <w:t xml:space="preserve">4. Maliyet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2409"/>
        <w:gridCol w:w="3615"/>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c>
          <w:tcPr>
            <w:tcW w:type="dxa" w:w="36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Şekli / Not</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Katılım / kayıt ücreti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öder / Çalışan öder, sonra iade]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Sınav ve sertifika ücreti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tcMar>
              <w:top w:type="dxa" w:w="60"/>
              <w:left w:type="dxa" w:w="110"/>
              <w:bottom w:type="dxa" w:w="60"/>
              <w:right w:type="dxa" w:w="110"/>
            </w:tcMar>
            <w:vAlign w:val="center"/>
          </w:tcPr>
          <w:p>
            <w:pPr>
              <w:spacing w:before="40" w:after="40"/>
            </w:pP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Gündelik / yemek</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harcırah politikasına göre]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Materyal / kitap / lisans</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61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w:t>
            </w:r>
          </w:p>
        </w:tc>
        <w:tc>
          <w:tcPr>
            <w:tcW w:type="dxa" w:w="3615"/>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Bütçe Kalemi / Masraf Merkezi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Yıllık Eğitim Planında Var mı?</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Çalışma Süresi ve İzin Durumu</w:t>
      </w:r>
    </w:p>
    <w:p>
      <w:pPr>
        <w:spacing w:after="120" w:before="0" w:line="300"/>
        <w:jc w:val="both"/>
      </w:pPr>
      <w:r>
        <w:rPr>
          <w:rFonts w:ascii="Calibri" w:cs="Calibri" w:eastAsia="Calibri" w:hAnsi="Calibri"/>
          <w:color w:val="3A4A61"/>
          <w:sz w:val="21"/>
          <w:szCs w:val="21"/>
        </w:rPr>
        <w:t xml:space="preserve">Eğitim saatlerinin çalışma süresi bakımından nasıl değerlendirileceği: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görevlendirmesidir; eğitimde geçen süre çalışma süresi sayılır, ücret kesilmez.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politikası kapsamında </w:t>
      </w:r>
      <w:r>
        <w:rPr>
          <w:rFonts w:ascii="Calibri" w:cs="Calibri" w:eastAsia="Calibri" w:hAnsi="Calibri"/>
          <w:b/>
          <w:bCs/>
          <w:color w:val="3A4A61"/>
          <w:sz w:val="21"/>
          <w:szCs w:val="21"/>
        </w:rPr>
        <w:t xml:space="preserve">ücretli eğitim izni</w:t>
      </w:r>
      <w:r>
        <w:rPr>
          <w:rFonts w:ascii="Calibri" w:cs="Calibri" w:eastAsia="Calibri" w:hAnsi="Calibri"/>
          <w:color w:val="3A4A61"/>
          <w:sz w:val="21"/>
          <w:szCs w:val="21"/>
        </w:rPr>
        <w:t xml:space="preserve"> olarak verilir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talebiyle yıllık izinden düşülür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talebiyle ücretsiz izin olarak kullanılır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tamamen çalışma saatleri dışındadır.</w:t>
      </w:r>
    </w:p>
    <w:p>
      <w:pPr>
        <w:spacing w:after="120" w:before="0" w:line="300"/>
        <w:jc w:val="both"/>
      </w:pPr>
      <w:r>
        <w:rPr>
          <w:rFonts w:ascii="Calibri" w:cs="Calibri" w:eastAsia="Calibri" w:hAnsi="Calibri"/>
          <w:color w:val="3A4A61"/>
          <w:sz w:val="21"/>
          <w:szCs w:val="21"/>
        </w:rPr>
        <w:t xml:space="preserve">Görev yerinden uzakta yapılacak eğitimlerde yol süresi, ulaşım ve konaklama düzeni: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6. Eğitim Gideri Taahhüdü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Gerekmiyor (toplam maliyet şirket eşiğinin altında veya eğitim yasal zorunluluk).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Gerekiyor: eğitim başlamadan önce ayrı bir </w:t>
      </w:r>
      <w:r>
        <w:rPr>
          <w:rFonts w:ascii="Calibri" w:cs="Calibri" w:eastAsia="Calibri" w:hAnsi="Calibri"/>
          <w:b/>
          <w:bCs/>
          <w:color w:val="3A4A61"/>
          <w:sz w:val="21"/>
          <w:szCs w:val="21"/>
        </w:rPr>
        <w:t xml:space="preserve">Eğitim Gideri Taahhütnamesi</w:t>
      </w:r>
      <w:r>
        <w:rPr>
          <w:rFonts w:ascii="Calibri" w:cs="Calibri" w:eastAsia="Calibri" w:hAnsi="Calibri"/>
          <w:color w:val="3A4A61"/>
          <w:sz w:val="21"/>
          <w:szCs w:val="21"/>
        </w:rPr>
        <w:t xml:space="preserve"> imzalanacak. Taahhüt süresi: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geri ödeme kalan süreyle orantılı hesaplanacak.</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İş sağlığı ve güvenliği eğitimleri gibi yasal zorunlu eğitimlerin maliyeti çalışana yansıtılamaz (6331 sayılı Kanun md. 17). Taahhüt yalnızca işverenin fiilen yaptığı ve belgelenebilen giderler için, makul bir süreyle ve kalan süreyle orantılı geri ödeme esasıyla düzenlenmelidir.</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Onay Akışı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891"/>
        <w:gridCol w:w="192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Gerekçe / Şart</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ve İmza</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Yönetici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Şartlı</w:t>
            </w:r>
          </w:p>
        </w:tc>
        <w:tc>
          <w:tcPr>
            <w:tcW w:type="dxa" w:w="2891"/>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Eğitim Sorumlusu</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Şartlı</w:t>
            </w:r>
          </w:p>
        </w:tc>
        <w:tc>
          <w:tcPr>
            <w:tcW w:type="dxa" w:w="2891"/>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Bütçe Sahibi / Genel Müdür</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Şartlı</w:t>
            </w:r>
          </w:p>
        </w:tc>
        <w:tc>
          <w:tcPr>
            <w:tcW w:type="dxa" w:w="2891"/>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Ret veya şartlı onay halinde önerilen alternatif (iç eğitim, online program, sonraki dönem vb.): </w:t>
      </w:r>
      <w:r>
        <w:rPr>
          <w:rFonts w:ascii="Calibri" w:cs="Calibri" w:eastAsia="Calibri" w:hAnsi="Calibri"/>
          <w:color w:val="1D5888"/>
          <w:sz w:val="21"/>
          <w:szCs w:val="21"/>
          <w:shd w:fill="EAF1F8" w:color="auto" w:val="clear"/>
        </w:rPr>
        <w:t xml:space="preserve">[Açıklama]</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8. Eğitim Sonrası Kayıt (İK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Katılım belgesi / sertifika teslim alındı ve özlük dosyasına kondu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Fatura ve masraf belgeleri muhasebeye iletildi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Katılımcı tepki değerlendirmesi (memnuniyet) alındı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paylaşımı taahhüdü yerine getirildi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Eğitimden 1–3 ay sonra etkinlik değerlendirmesi planlandı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[Planlanan tarih]</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kaydı yetkinlik matrisi / eğitim takip tablosuna işlendi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yıllık eğitim planı ve eğitim bütçesiyle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Eğitimin iş ihtiyacıyla bağlantısı (yetkinlik açığı, hedef, yasal zorunluluk) yazılı olarak gerekçelendirildi.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içerikte daha düşük maliyetli veya şirket içi bir alternatif araştırıldı.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saatlerinin çalışma süresi sayılıp sayılmayacağı ve izin türü çalışana yazılı olarak bildirildi; puantaja doğru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Haftalık çalışma süresini aşan eğitim saatleri varsa fazla çalışma olarak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Gerekiyorsa eğitim gideri taahhütnamesi eğitimden önce imzalatıldı; tutarlar fatura ile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Seyahatli eğitimlerde görevlendirme yazısı, harcırah ve sigorta düzenlemesi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taleplerde çalışanlar arasında eşit ve tutarlı ölçüt uygulandı.</w:t>
      </w: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[İK-EĞT-01]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Talep ve Onay Formu</dc:title>
  <dc:creator>İK Partner</dc:creator>
  <dc:description>Eğitim Talep ve Onay Formu — İK Partner (ikpartner.com) ücretsiz İK şablonu</dc:description>
  <cp:lastModifiedBy>Un-named</cp:lastModifiedBy>
  <cp:revision>1</cp:revision>
  <dcterms:created xsi:type="dcterms:W3CDTF">2026-10-13T21:26:39.434Z</dcterms:created>
  <dcterms:modified xsi:type="dcterms:W3CDTF">2026-10-13T21:26:39.436Z</dcterms:modified>
</cp:coreProperties>
</file>

<file path=docProps/custom.xml><?xml version="1.0" encoding="utf-8"?>
<Properties xmlns="http://schemas.openxmlformats.org/officeDocument/2006/custom-properties" xmlns:vt="http://schemas.openxmlformats.org/officeDocument/2006/docPropsVTypes"/>
</file>