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Eğitim Gideri Taahhütnamesi</w:t>
      </w:r>
    </w:p>
    <w:p>
      <w:pPr>
        <w:pBdr>
          <w:bottom w:val="single" w:color="13B8A7" w:sz="12" w:space="8"/>
        </w:pBdr>
        <w:spacing w:after="220"/>
      </w:pPr>
      <w:r>
        <w:rPr>
          <w:rFonts w:ascii="Calibri" w:cs="Calibri" w:eastAsia="Calibri" w:hAnsi="Calibri"/>
          <w:color w:val="5A6B82"/>
          <w:sz w:val="21"/>
          <w:szCs w:val="21"/>
        </w:rPr>
        <w:t xml:space="preserve">İşveren tarafından finanse edilen eğitim için taahhüt süresi ve kıst (orantılı) iade koşullarını düzenler. Eğitim başlamadan önce imzalanır.</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(Şirket Unvanı)</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Adresi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Adı Soyadı</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[Unvan]</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[Departman]</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[Sicil No]</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Eğitimin Tanımı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Eğitimin Adı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[Eğitimin Adı]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Düzenleyen Kurum</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[Kurum Adı]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Başlangıç – Bitiş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Eğitim Yeri / Şekli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[Yer / Çevrim içi]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Süre</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[Gün / Saat]</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Kazanılacak Belge / Sertifika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[Belge Adı]</w:t>
            </w:r>
          </w:p>
        </w:tc>
      </w:tr>
    </w:tbl>
    <w:p>
      <w:pPr>
        <w:spacing w:after="120" w:before="0"/>
      </w:pPr>
    </w:p>
    <w:p>
      <w:pPr>
        <w:spacing w:after="120" w:before="0" w:line="300"/>
        <w:jc w:val="both"/>
      </w:pPr>
      <w:r>
        <w:rPr>
          <w:rFonts w:ascii="Calibri" w:cs="Calibri" w:eastAsia="Calibri" w:hAnsi="Calibri"/>
          <w:color w:val="3A4A61"/>
          <w:sz w:val="21"/>
          <w:szCs w:val="21"/>
        </w:rPr>
        <w:t xml:space="preserve">Çalışan, yukarıda tanımlanan eğitime katılmayı kendi talebi ve/veya işverenin önerisi üzerine kabul etmiştir. Eğitim, çalışana kalıcı ve iş piyasasında değeri olan bir nitelik kazandırmaktadır. Bu taahhütname, 6331 sayılı Kanun kapsamındaki iş sağlığı ve güvenliği eğitimleri ile işe başlangıç ve iç eğitimler için uygulanmaz.</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Eğitim Masrafları (Belgeye Dayalı)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517"/>
        <w:gridCol w:w="3011"/>
        <w:gridCol w:w="2110"/>
      </w:tblGrid>
      <w:tr>
        <w:trPr>
          <w:cantSplit/>
          <w:trHeight w:val="400" w:hRule="atLeast"/>
        </w:trPr>
        <w:tc>
          <w:tcPr>
            <w:tcW w:type="dxa" w:w="451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Masraf Kalemi</w:t>
            </w:r>
          </w:p>
        </w:tc>
        <w:tc>
          <w:tcPr>
            <w:tcW w:type="dxa" w:w="30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Türü ve No</w:t>
            </w:r>
          </w:p>
        </w:tc>
        <w:tc>
          <w:tcPr>
            <w:tcW w:type="dxa" w:w="21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(TL)</w:t>
            </w:r>
          </w:p>
        </w:tc>
      </w:tr>
      <w:tr>
        <w:trPr>
          <w:cantSplit/>
          <w:trHeight w:val="380" w:hRule="atLeast"/>
        </w:trPr>
        <w:tc>
          <w:tcPr>
            <w:tcW w:type="dxa" w:w="45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 program ücreti</w:t>
            </w:r>
          </w:p>
        </w:tc>
        <w:tc>
          <w:tcPr>
            <w:tcW w:type="dxa" w:w="301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[Fatura No]</w:t>
            </w:r>
          </w:p>
        </w:tc>
        <w:tc>
          <w:tcPr>
            <w:tcW w:type="dxa" w:w="211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51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Konaklama</w:t>
            </w:r>
          </w:p>
        </w:tc>
        <w:tc>
          <w:tcPr>
            <w:tcW w:type="dxa" w:w="30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[Fatura No]</w:t>
            </w:r>
          </w:p>
        </w:tc>
        <w:tc>
          <w:tcPr>
            <w:tcW w:type="dxa" w:w="21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5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w:t>
            </w:r>
          </w:p>
        </w:tc>
        <w:tc>
          <w:tcPr>
            <w:tcW w:type="dxa" w:w="301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[Bilet / Fatura No]</w:t>
            </w:r>
          </w:p>
        </w:tc>
        <w:tc>
          <w:tcPr>
            <w:tcW w:type="dxa" w:w="211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51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Sınav / sertifika ücreti</w:t>
            </w:r>
          </w:p>
        </w:tc>
        <w:tc>
          <w:tcPr>
            <w:tcW w:type="dxa" w:w="30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[Fatura No]</w:t>
            </w:r>
          </w:p>
        </w:tc>
        <w:tc>
          <w:tcPr>
            <w:tcW w:type="dxa" w:w="21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51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[Diğer]</w:t>
            </w:r>
          </w:p>
        </w:tc>
        <w:tc>
          <w:tcPr>
            <w:tcW w:type="dxa" w:w="301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[Belge No]</w:t>
            </w:r>
          </w:p>
        </w:tc>
        <w:tc>
          <w:tcPr>
            <w:tcW w:type="dxa" w:w="211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517"/>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w:t>
            </w:r>
          </w:p>
        </w:tc>
        <w:tc>
          <w:tcPr>
            <w:tcW w:type="dxa" w:w="3011"/>
            <w:shd w:fill="F5F8FB" w:color="auto" w:val="clear"/>
            <w:tcMar>
              <w:top w:type="dxa" w:w="60"/>
              <w:left w:type="dxa" w:w="110"/>
              <w:bottom w:type="dxa" w:w="60"/>
              <w:right w:type="dxa" w:w="110"/>
            </w:tcMar>
            <w:vAlign w:val="center"/>
          </w:tcPr>
          <w:p>
            <w:pPr>
              <w:spacing w:before="40" w:after="40"/>
            </w:pPr>
          </w:p>
        </w:tc>
        <w:tc>
          <w:tcPr>
            <w:tcW w:type="dxa" w:w="211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 Tutar]</w:t>
            </w:r>
          </w:p>
        </w:tc>
      </w:tr>
    </w:tbl>
    <w:p>
      <w:pPr>
        <w:spacing w:after="120" w:before="0"/>
      </w:pPr>
    </w:p>
    <w:p>
      <w:pPr>
        <w:spacing w:after="120" w:before="0" w:line="300"/>
        <w:jc w:val="both"/>
      </w:pPr>
      <w:r>
        <w:rPr>
          <w:rFonts w:ascii="Calibri" w:cs="Calibri" w:eastAsia="Calibri" w:hAnsi="Calibri"/>
          <w:color w:val="3A4A61"/>
          <w:sz w:val="21"/>
          <w:szCs w:val="21"/>
        </w:rPr>
        <w:t xml:space="preserve">Masraflara ilişkin fatura ve belgelerin birer örneği, eğitimin tamamlanmasından sonra en geç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çalışana teslim edilir. Belgeyle kanıtlanamayan hiçbir tutar iade hesabına dahil edilmez.</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Taahhüt Süresi</w:t>
      </w:r>
    </w:p>
    <w:p>
      <w:pPr>
        <w:spacing w:after="120" w:before="0" w:line="300"/>
        <w:jc w:val="both"/>
      </w:pPr>
      <w:r>
        <w:rPr>
          <w:rFonts w:ascii="Calibri" w:cs="Calibri" w:eastAsia="Calibri" w:hAnsi="Calibri"/>
          <w:color w:val="3A4A61"/>
          <w:sz w:val="21"/>
          <w:szCs w:val="21"/>
        </w:rPr>
        <w:t xml:space="preserve">Çalışan, eğitimin tamamlandığı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tarihinden itibaren </w:t>
      </w:r>
      <w:r>
        <w:rPr>
          <w:rFonts w:ascii="Calibri" w:cs="Calibri" w:eastAsia="Calibri" w:hAnsi="Calibri"/>
          <w:b/>
          <w:bCs/>
          <w:color w:val="3A4A61"/>
          <w:sz w:val="21"/>
          <w:szCs w:val="21"/>
        </w:rPr>
        <w:t xml:space="preserve">[süre] ay</w:t>
      </w:r>
      <w:r>
        <w:rPr>
          <w:rFonts w:ascii="Calibri" w:cs="Calibri" w:eastAsia="Calibri" w:hAnsi="Calibri"/>
          <w:color w:val="3A4A61"/>
          <w:sz w:val="21"/>
          <w:szCs w:val="21"/>
        </w:rPr>
        <w:t xml:space="preserve"> süreyle işverenin işyerinde çalışmayı taahhüt eder. Taraflar, bu sürenin eğitimin maliyeti, süresi ve çalışana kazandırdığı nitelikle orantılı olarak belirlendiğini kabul eder.</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İade Yükümlülüğünün Doğduğu Haller</w:t>
      </w:r>
    </w:p>
    <w:p>
      <w:pPr>
        <w:spacing w:after="120" w:before="0" w:line="300"/>
        <w:jc w:val="both"/>
      </w:pPr>
      <w:r>
        <w:rPr>
          <w:rFonts w:ascii="Calibri" w:cs="Calibri" w:eastAsia="Calibri" w:hAnsi="Calibri"/>
          <w:color w:val="3A4A61"/>
          <w:sz w:val="21"/>
          <w:szCs w:val="21"/>
        </w:rPr>
        <w:t xml:space="preserve">Taahhüt süresi dolmadan aşağıdaki hallerden biriyle iş sözleşmesinin sona ermesi durumunda çalışan, belgeli toplam masrafın taahhüt süresinin tamamlanmayan kısmına isabet eden bölümünü işverene öder:</w:t>
      </w:r>
    </w:p>
    <w:p>
      <w:pPr>
        <w:pStyle w:val="ListParagraph"/>
        <w:numPr>
          <w:ilvl w:val="0"/>
          <w:numId w:val="2"/>
        </w:numPr>
        <w:spacing w:after="80" w:line="290"/>
      </w:pPr>
      <w:r>
        <w:rPr>
          <w:rFonts w:ascii="Calibri" w:cs="Calibri" w:eastAsia="Calibri" w:hAnsi="Calibri"/>
          <w:color w:val="3A4A61"/>
          <w:sz w:val="21"/>
          <w:szCs w:val="21"/>
        </w:rPr>
        <w:t xml:space="preserve">Çalışanın iş sözleşmesini kendi isteğiyle (istifa) feshetmesi</w:t>
      </w:r>
    </w:p>
    <w:p>
      <w:pPr>
        <w:pStyle w:val="ListParagraph"/>
        <w:numPr>
          <w:ilvl w:val="0"/>
          <w:numId w:val="2"/>
        </w:numPr>
        <w:spacing w:after="80" w:line="290"/>
      </w:pPr>
      <w:r>
        <w:rPr>
          <w:rFonts w:ascii="Calibri" w:cs="Calibri" w:eastAsia="Calibri" w:hAnsi="Calibri"/>
          <w:color w:val="3A4A61"/>
          <w:sz w:val="21"/>
          <w:szCs w:val="21"/>
        </w:rPr>
        <w:t xml:space="preserve">İş sözleşmesinin, çalışanın kusurlu davranışı nedeniyle İş Kanunu md. 25/II kapsamında işverence haklı nedenle feshedilmesi</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İade Yükümlülüğünün Doğmadığı Haller</w:t>
      </w:r>
    </w:p>
    <w:p>
      <w:pPr>
        <w:pStyle w:val="ListParagraph"/>
        <w:numPr>
          <w:ilvl w:val="0"/>
          <w:numId w:val="2"/>
        </w:numPr>
        <w:spacing w:after="80" w:line="290"/>
      </w:pPr>
      <w:r>
        <w:rPr>
          <w:rFonts w:ascii="Calibri" w:cs="Calibri" w:eastAsia="Calibri" w:hAnsi="Calibri"/>
          <w:color w:val="3A4A61"/>
          <w:sz w:val="21"/>
          <w:szCs w:val="21"/>
        </w:rPr>
        <w:t xml:space="preserve">İş sözleşmesinin işveren tarafından haklı bir neden olmaksızın (geçerli nedenle veya bildirimli) feshedilmesi</w:t>
      </w:r>
    </w:p>
    <w:p>
      <w:pPr>
        <w:pStyle w:val="ListParagraph"/>
        <w:numPr>
          <w:ilvl w:val="0"/>
          <w:numId w:val="2"/>
        </w:numPr>
        <w:spacing w:after="80" w:line="290"/>
      </w:pPr>
      <w:r>
        <w:rPr>
          <w:rFonts w:ascii="Calibri" w:cs="Calibri" w:eastAsia="Calibri" w:hAnsi="Calibri"/>
          <w:color w:val="3A4A61"/>
          <w:sz w:val="21"/>
          <w:szCs w:val="21"/>
        </w:rPr>
        <w:t xml:space="preserve">Çalışanın iş sözleşmesini İş Kanunu md. 24 kapsamında haklı nedenle feshetmesi</w:t>
      </w:r>
    </w:p>
    <w:p>
      <w:pPr>
        <w:pStyle w:val="ListParagraph"/>
        <w:numPr>
          <w:ilvl w:val="0"/>
          <w:numId w:val="2"/>
        </w:numPr>
        <w:spacing w:after="80" w:line="290"/>
      </w:pPr>
      <w:r>
        <w:rPr>
          <w:rFonts w:ascii="Calibri" w:cs="Calibri" w:eastAsia="Calibri" w:hAnsi="Calibri"/>
          <w:color w:val="3A4A61"/>
          <w:sz w:val="21"/>
          <w:szCs w:val="21"/>
        </w:rPr>
        <w:t xml:space="preserve">Çalışanın vefatı, malulen emekliliği veya sağlık nedenleriyle sözleşmenin sona ermesi</w:t>
      </w:r>
    </w:p>
    <w:p>
      <w:pPr>
        <w:pStyle w:val="ListParagraph"/>
        <w:numPr>
          <w:ilvl w:val="0"/>
          <w:numId w:val="2"/>
        </w:numPr>
        <w:spacing w:after="80" w:line="290"/>
      </w:pPr>
      <w:r>
        <w:rPr>
          <w:rFonts w:ascii="Calibri" w:cs="Calibri" w:eastAsia="Calibri" w:hAnsi="Calibri"/>
          <w:color w:val="3A4A61"/>
          <w:sz w:val="21"/>
          <w:szCs w:val="21"/>
        </w:rPr>
        <w:t xml:space="preserve">Şirket politikasına göre ek haller: </w:t>
      </w:r>
      <w:r>
        <w:rPr>
          <w:rFonts w:ascii="Calibri" w:cs="Calibri" w:eastAsia="Calibri" w:hAnsi="Calibri"/>
          <w:color w:val="1D5888"/>
          <w:sz w:val="21"/>
          <w:szCs w:val="21"/>
          <w:shd w:fill="EAF1F8" w:color="auto" w:val="clear"/>
        </w:rPr>
        <w:t xml:space="preserve">[karşılıklı anlaşma / emeklilik / diğer]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Kıst (Orantılı) İade Hesabı</w:t>
      </w:r>
    </w:p>
    <w:p>
      <w:pPr>
        <w:spacing w:after="120" w:before="0" w:line="300"/>
        <w:jc w:val="both"/>
      </w:pPr>
      <w:r>
        <w:rPr>
          <w:rFonts w:ascii="Calibri" w:cs="Calibri" w:eastAsia="Calibri" w:hAnsi="Calibri"/>
          <w:b/>
          <w:bCs/>
          <w:color w:val="3A4A61"/>
          <w:sz w:val="21"/>
          <w:szCs w:val="21"/>
        </w:rPr>
        <w:t xml:space="preserve">İade Tutarı = Toplam Belgeli Masraf × (Tamamlanmayan Ay Sayısı ÷ Taahhüt Süresi Ay Sayısı)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3856"/>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Hesap Adımı</w:t>
            </w:r>
          </w:p>
        </w:tc>
        <w:tc>
          <w:tcPr>
            <w:tcW w:type="dxa" w:w="3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 belgeli masraf</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Taahhüt süresi</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[süre]</w:t>
            </w:r>
            <w:r>
              <w:rPr>
                <w:rFonts w:ascii="Calibri" w:cs="Calibri" w:eastAsia="Calibri" w:hAnsi="Calibri"/>
                <w:color w:val="3A4A61"/>
                <w:sz w:val="19"/>
                <w:szCs w:val="19"/>
              </w:rPr>
              <w:t xml:space="preserve"> ay</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Ayrılış tarihine kadar tamamlanan süre</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[süre]</w:t>
            </w:r>
            <w:r>
              <w:rPr>
                <w:rFonts w:ascii="Calibri" w:cs="Calibri" w:eastAsia="Calibri" w:hAnsi="Calibri"/>
                <w:color w:val="3A4A61"/>
                <w:sz w:val="19"/>
                <w:szCs w:val="19"/>
              </w:rPr>
              <w:t xml:space="preserve"> ay</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Tamamlanmayan süre</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[süre]</w:t>
            </w:r>
            <w:r>
              <w:rPr>
                <w:rFonts w:ascii="Calibri" w:cs="Calibri" w:eastAsia="Calibri" w:hAnsi="Calibri"/>
                <w:color w:val="3A4A61"/>
                <w:sz w:val="19"/>
                <w:szCs w:val="19"/>
              </w:rPr>
              <w:t xml:space="preserve"> ay</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İade tutarı</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bl>
    <w:p>
      <w:pPr>
        <w:spacing w:after="120" w:before="0"/>
      </w:pPr>
    </w:p>
    <w:p>
      <w:pPr>
        <w:spacing w:after="120" w:before="0" w:line="300"/>
        <w:jc w:val="both"/>
      </w:pPr>
      <w:r>
        <w:rPr>
          <w:rFonts w:ascii="Calibri" w:cs="Calibri" w:eastAsia="Calibri" w:hAnsi="Calibri"/>
          <w:color w:val="3A4A61"/>
          <w:sz w:val="21"/>
          <w:szCs w:val="21"/>
        </w:rPr>
        <w:t xml:space="preserve">Ay kesirleri </w:t>
      </w:r>
      <w:r>
        <w:rPr>
          <w:rFonts w:ascii="Calibri" w:cs="Calibri" w:eastAsia="Calibri" w:hAnsi="Calibri"/>
          <w:color w:val="1D5888"/>
          <w:sz w:val="21"/>
          <w:szCs w:val="21"/>
          <w:shd w:fill="EAF1F8" w:color="auto" w:val="clear"/>
        </w:rPr>
        <w:t xml:space="preserve">[tam aya yuvarlanır / gün esasıyla hesaplanır]</w:t>
      </w:r>
      <w:r>
        <w:rPr>
          <w:rFonts w:ascii="Calibri" w:cs="Calibri" w:eastAsia="Calibri" w:hAnsi="Calibri"/>
          <w:color w:val="3A4A61"/>
          <w:sz w:val="21"/>
          <w:szCs w:val="21"/>
        </w:rPr>
        <w:t xml:space="preserve">. Masraftan bağımsız sabit bir ceza tutarı veya cezai şart uygulanmaz.</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Ödeme ve Mahsup</w:t>
      </w:r>
    </w:p>
    <w:p>
      <w:pPr>
        <w:spacing w:after="120" w:before="0" w:line="300"/>
        <w:jc w:val="both"/>
      </w:pPr>
      <w:r>
        <w:rPr>
          <w:rFonts w:ascii="Calibri" w:cs="Calibri" w:eastAsia="Calibri" w:hAnsi="Calibri"/>
          <w:color w:val="3A4A61"/>
          <w:sz w:val="21"/>
          <w:szCs w:val="21"/>
        </w:rPr>
        <w:t xml:space="preserve">İade tutarı, ayrılış tarihinde çalışana yazılı ve hesaplı olarak bildirilir. Tutarın ücret, yıllık izin ücreti veya diğer alacaklardan mahsubu, çalışanın ayrılış sırasında ayrıca vereceği açık yazılı onaya bağlıdır. Onay verilmemesi halinde çalışanın ücret ve tazminat alacakları yasal sürelerde ödenir; iade alacağı ayrıca talep edilir. Taraflar dilerse ödeme planını ayrı bir mutabakat metniyle belirleyebilir.</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Eğitime Devam ve Başarı</w:t>
      </w:r>
    </w:p>
    <w:p>
      <w:pPr>
        <w:spacing w:after="120" w:before="0" w:line="300"/>
        <w:jc w:val="both"/>
      </w:pPr>
      <w:r>
        <w:rPr>
          <w:rFonts w:ascii="Calibri" w:cs="Calibri" w:eastAsia="Calibri" w:hAnsi="Calibri"/>
          <w:color w:val="3A4A61"/>
          <w:sz w:val="21"/>
          <w:szCs w:val="21"/>
        </w:rPr>
        <w:t xml:space="preserve">Çalışan eğitime düzenli olarak katılmayı ve sınav / değerlendirme aşamalarını tamamlamaya gayret göstermeyi kabul eder. Çalışanın kusuru olmaksızın eğitimin iptali, ertelenmesi veya tamamlanamaması halinde iade yükümlülüğü doğmaz. Eğitime mazeretsiz devamsızlık halinde uygulanacak hüküm: </w:t>
      </w:r>
      <w:r>
        <w:rPr>
          <w:rFonts w:ascii="Calibri" w:cs="Calibri" w:eastAsia="Calibri" w:hAnsi="Calibri"/>
          <w:color w:val="1D5888"/>
          <w:sz w:val="21"/>
          <w:szCs w:val="21"/>
          <w:shd w:fill="EAF1F8" w:color="auto" w:val="clear"/>
        </w:rPr>
        <w:t xml:space="preserve">[şirket politikasına göre belirtiniz]</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Diğer Hükümler</w:t>
      </w:r>
    </w:p>
    <w:p>
      <w:pPr>
        <w:pStyle w:val="ListParagraph"/>
        <w:numPr>
          <w:ilvl w:val="0"/>
          <w:numId w:val="2"/>
        </w:numPr>
        <w:spacing w:after="80" w:line="290"/>
      </w:pPr>
      <w:r>
        <w:rPr>
          <w:rFonts w:ascii="Calibri" w:cs="Calibri" w:eastAsia="Calibri" w:hAnsi="Calibri"/>
          <w:color w:val="3A4A61"/>
          <w:sz w:val="21"/>
          <w:szCs w:val="21"/>
        </w:rPr>
        <w:t xml:space="preserve">Bu taahhütname iki nüsha olarak düzenlenmiş, bir nüshası çalışana teslim edilmiştir.</w:t>
      </w:r>
    </w:p>
    <w:p>
      <w:pPr>
        <w:pStyle w:val="ListParagraph"/>
        <w:numPr>
          <w:ilvl w:val="0"/>
          <w:numId w:val="2"/>
        </w:numPr>
        <w:spacing w:after="80" w:line="290"/>
      </w:pPr>
      <w:r>
        <w:rPr>
          <w:rFonts w:ascii="Calibri" w:cs="Calibri" w:eastAsia="Calibri" w:hAnsi="Calibri"/>
          <w:color w:val="3A4A61"/>
          <w:sz w:val="21"/>
          <w:szCs w:val="21"/>
        </w:rPr>
        <w:t xml:space="preserve">Taahhütname eğitim başlamadan önce imzalanmıştır; eğitim tamamlandıktan sonra imzalanan nüsha geçerli sayılmaz.</w:t>
      </w:r>
    </w:p>
    <w:p>
      <w:pPr>
        <w:pStyle w:val="ListParagraph"/>
        <w:numPr>
          <w:ilvl w:val="0"/>
          <w:numId w:val="2"/>
        </w:numPr>
        <w:spacing w:after="80" w:line="290"/>
      </w:pPr>
      <w:r>
        <w:rPr>
          <w:rFonts w:ascii="Calibri" w:cs="Calibri" w:eastAsia="Calibri" w:hAnsi="Calibri"/>
          <w:color w:val="3A4A61"/>
          <w:sz w:val="21"/>
          <w:szCs w:val="21"/>
        </w:rPr>
        <w:t xml:space="preserve">Bu metinde düzenlenmeyen hususlarda iş sözleşmesi ve ilgili mevzuat hükümleri uygulanır.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Düzenleme Tarihi</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Düzenleme Yeri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[Şehir]</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Taahhüt süresi makul olmalı, iade yalnızca belgeli masrafla sınırlı tutulmalı ve kalan süreyle orantılı hesaplanmalıdır. Yalnızca çalışanı bağlayan sabit cezai şartlar geçersizlik riski taşır. Metni imzalatmadan önce hukuk danışmanınıza kontrol ettirin.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Gideri Taahhütnamesi</dc:title>
  <dc:creator>İK Partner</dc:creator>
  <dc:description>Eğitim Gideri Taahhütnamesi — İK Partner (ikpartner.com) ücretsiz İK şablonu</dc:description>
  <cp:lastModifiedBy>Un-named</cp:lastModifiedBy>
  <cp:revision>1</cp:revision>
  <dcterms:created xsi:type="dcterms:W3CDTF">2026-10-12T11:08:07.544Z</dcterms:created>
  <dcterms:modified xsi:type="dcterms:W3CDTF">2026-10-12T11:08:07.544Z</dcterms:modified>
</cp:coreProperties>
</file>

<file path=docProps/custom.xml><?xml version="1.0" encoding="utf-8"?>
<Properties xmlns="http://schemas.openxmlformats.org/officeDocument/2006/custom-properties" xmlns:vt="http://schemas.openxmlformats.org/officeDocument/2006/docPropsVTypes"/>
</file>