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Disiplin Yönetmeliği</w:t>
      </w:r>
    </w:p>
    <w:p>
      <w:pPr>
        <w:pBdr>
          <w:bottom w:val="single" w:color="13B8A7" w:sz="12" w:space="8"/>
        </w:pBdr>
        <w:spacing w:after="220"/>
      </w:pPr>
      <w:r>
        <w:rPr>
          <w:rFonts w:ascii="Calibri" w:cs="Calibri" w:eastAsia="Calibri" w:hAnsi="Calibri"/>
          <w:color w:val="5A6B82"/>
          <w:sz w:val="21"/>
          <w:szCs w:val="21"/>
        </w:rPr>
        <w:t xml:space="preserve">İşyerinde disiplin kurallarını, disiplin kurulunun çalışma esaslarını, savunma usulünü ve ihlal türlerine göre uygulanacak yaptırımları düzenler.</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Amaç</w:t>
      </w:r>
    </w:p>
    <w:p>
      <w:pPr>
        <w:spacing w:after="120" w:before="0" w:line="300"/>
        <w:jc w:val="both"/>
      </w:pPr>
      <w:r>
        <w:rPr>
          <w:rFonts w:ascii="Calibri" w:cs="Calibri" w:eastAsia="Calibri" w:hAnsi="Calibri"/>
          <w:color w:val="3A4A61"/>
          <w:sz w:val="21"/>
          <w:szCs w:val="21"/>
        </w:rPr>
        <w:t xml:space="preserve">Bu Yönetmeliğin amacı, </w:t>
      </w:r>
      <w:r>
        <w:rPr>
          <w:rFonts w:ascii="Calibri" w:cs="Calibri" w:eastAsia="Calibri" w:hAnsi="Calibri"/>
          <w:b/>
          <w:bCs/>
          <w:color w:val="3A4A61"/>
          <w:sz w:val="21"/>
          <w:szCs w:val="21"/>
        </w:rPr>
        <w:t xml:space="preserve">[Şirket Unvanı]</w:t>
      </w:r>
      <w:r>
        <w:rPr>
          <w:rFonts w:ascii="Calibri" w:cs="Calibri" w:eastAsia="Calibri" w:hAnsi="Calibri"/>
          <w:color w:val="3A4A61"/>
          <w:sz w:val="21"/>
          <w:szCs w:val="21"/>
        </w:rPr>
        <w:t xml:space="preserve"> (bundan sonra </w:t>
      </w:r>
      <w:r>
        <w:rPr>
          <w:rFonts w:ascii="Calibri" w:cs="Calibri" w:eastAsia="Calibri" w:hAnsi="Calibri"/>
          <w:b/>
          <w:bCs/>
          <w:color w:val="3A4A61"/>
          <w:sz w:val="21"/>
          <w:szCs w:val="21"/>
        </w:rPr>
        <w:t xml:space="preserve">Şirket</w:t>
      </w:r>
      <w:r>
        <w:rPr>
          <w:rFonts w:ascii="Calibri" w:cs="Calibri" w:eastAsia="Calibri" w:hAnsi="Calibri"/>
          <w:color w:val="3A4A61"/>
          <w:sz w:val="21"/>
          <w:szCs w:val="21"/>
        </w:rPr>
        <w:t xml:space="preserve">) işyerlerinde huzurlu, verimli ve güvenli bir çalışma ortamının korunması için uyulması gereken davranış kurallarını, bu kurallara aykırılık halinde izlenecek usulü ve uygulanacak disiplin yaptırımlarını; adil, öngörülebilir ve tutarlı bir şekilde belirlemektir.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Kapsam</w:t>
      </w:r>
    </w:p>
    <w:p>
      <w:pPr>
        <w:spacing w:after="120" w:before="0" w:line="300"/>
        <w:jc w:val="both"/>
      </w:pPr>
      <w:r>
        <w:rPr>
          <w:rFonts w:ascii="Calibri" w:cs="Calibri" w:eastAsia="Calibri" w:hAnsi="Calibri"/>
          <w:color w:val="3A4A61"/>
          <w:sz w:val="21"/>
          <w:szCs w:val="21"/>
        </w:rPr>
        <w:t xml:space="preserve">Yönetmelik, Şirket'in </w:t>
      </w:r>
      <w:r>
        <w:rPr>
          <w:rFonts w:ascii="Calibri" w:cs="Calibri" w:eastAsia="Calibri" w:hAnsi="Calibri"/>
          <w:b/>
          <w:bCs/>
          <w:color w:val="3A4A61"/>
          <w:sz w:val="21"/>
          <w:szCs w:val="21"/>
        </w:rPr>
        <w:t xml:space="preserve">[işyerleri / şubeleri]</w:t>
      </w:r>
      <w:r>
        <w:rPr>
          <w:rFonts w:ascii="Calibri" w:cs="Calibri" w:eastAsia="Calibri" w:hAnsi="Calibri"/>
          <w:color w:val="3A4A61"/>
          <w:sz w:val="21"/>
          <w:szCs w:val="21"/>
        </w:rPr>
        <w:t xml:space="preserve"> bünyesinde iş sözleşmesi ile çalışan tüm personeli kapsar. Alt işveren çalışanları, stajyerler ve geçici iş ilişkisiyle çalışanlar hakkında, kendi işverenleri veya eğitim kurumları ile yapılan düzenlemeler saklı kalmak kaydıyla, ilgili kişinin işvereni / okulu bilgilendirilir. İşyerinde toplu iş sözleşmesi uygulanıyorsa, toplu iş sözleşmesinin disiplin hükümleri bu Yönetmelikten önce uygulanır.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Dayanak</w:t>
      </w:r>
    </w:p>
    <w:p>
      <w:pPr>
        <w:spacing w:after="120" w:before="0" w:line="300"/>
        <w:jc w:val="both"/>
      </w:pPr>
      <w:r>
        <w:rPr>
          <w:rFonts w:ascii="Calibri" w:cs="Calibri" w:eastAsia="Calibri" w:hAnsi="Calibri"/>
          <w:color w:val="3A4A61"/>
          <w:sz w:val="21"/>
          <w:szCs w:val="21"/>
        </w:rPr>
        <w:t xml:space="preserve">Yönetmelik; 4857 sayılı İş Kanunu (özellikle md. 18–21 geçerli nedenle fesih, md. 25 haklı nedenle fesih, md. 26 fesih hakkının kullanma süresi, md. 38 ücret kesme cezası), 6331 sayılı İş Sağlığı ve Güvenliği Kanunu, 6098 sayılı Türk Borçlar Kanunu ve 6698 sayılı Kişisel Verilerin Korunması Kanunu çerçevesinde hazırlanmıştır.</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Tanımlar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7229"/>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Terim</w:t>
            </w:r>
          </w:p>
        </w:tc>
        <w:tc>
          <w:tcPr>
            <w:tcW w:type="dxa" w:w="72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Tanım</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w:t>
            </w:r>
          </w:p>
        </w:tc>
        <w:tc>
          <w:tcPr>
            <w:tcW w:type="dxa" w:w="72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ile iş sözleşmesi bulunan ve bu Yönetmelik kapsamındaki kişi.</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Disiplin Kurulu</w:t>
            </w:r>
          </w:p>
        </w:tc>
        <w:tc>
          <w:tcPr>
            <w:tcW w:type="dxa" w:w="72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Disiplin soruşturmalarını değerlendiren ve karar veren kurul.</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Disiplin ihlali</w:t>
            </w:r>
          </w:p>
        </w:tc>
        <w:tc>
          <w:tcPr>
            <w:tcW w:type="dxa" w:w="72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Yönetmelikte, iş sözleşmesinde veya tebliğ edilmiş iç düzenlemelerde belirtilen kurallara aykırı davranış.</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Savunma</w:t>
            </w:r>
          </w:p>
        </w:tc>
        <w:tc>
          <w:tcPr>
            <w:tcW w:type="dxa" w:w="72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Hakkında disiplin süreci başlatılan çalışanın, isnat edilen olaya ilişkin yazılı açıklaması.</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Tekerrür</w:t>
            </w:r>
          </w:p>
        </w:tc>
        <w:tc>
          <w:tcPr>
            <w:tcW w:type="dxa" w:w="72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veya benzer nitelikteki ihlalin, önceki yaptırımın tebliğinden itibaren </w:t>
            </w:r>
            <w:r>
              <w:rPr>
                <w:rFonts w:ascii="Calibri" w:cs="Calibri" w:eastAsia="Calibri" w:hAnsi="Calibri"/>
                <w:color w:val="1D5888"/>
                <w:sz w:val="19"/>
                <w:szCs w:val="19"/>
                <w:shd w:fill="EAF1F8" w:color="auto" w:val="clear"/>
              </w:rPr>
              <w:t xml:space="preserve">[12 ay]</w:t>
            </w:r>
            <w:r>
              <w:rPr>
                <w:rFonts w:ascii="Calibri" w:cs="Calibri" w:eastAsia="Calibri" w:hAnsi="Calibri"/>
                <w:color w:val="3A4A61"/>
                <w:sz w:val="19"/>
                <w:szCs w:val="19"/>
              </w:rPr>
              <w:t xml:space="preserve"> içinde tekrarlanması.</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Genel İlkeler</w:t>
      </w:r>
    </w:p>
    <w:p>
      <w:pPr>
        <w:pStyle w:val="ListParagraph"/>
        <w:numPr>
          <w:ilvl w:val="0"/>
          <w:numId w:val="2"/>
        </w:numPr>
        <w:spacing w:after="80" w:line="290"/>
      </w:pPr>
      <w:r>
        <w:rPr>
          <w:rFonts w:ascii="Calibri" w:cs="Calibri" w:eastAsia="Calibri" w:hAnsi="Calibri"/>
          <w:b/>
          <w:bCs/>
          <w:color w:val="3A4A61"/>
          <w:sz w:val="21"/>
          <w:szCs w:val="21"/>
        </w:rPr>
        <w:t xml:space="preserve">Kanunilik:</w:t>
      </w:r>
      <w:r>
        <w:rPr>
          <w:rFonts w:ascii="Calibri" w:cs="Calibri" w:eastAsia="Calibri" w:hAnsi="Calibri"/>
          <w:color w:val="3A4A61"/>
          <w:sz w:val="21"/>
          <w:szCs w:val="21"/>
        </w:rPr>
        <w:t xml:space="preserve"> Yalnızca bu Yönetmelikte veya tebliğ edilmiş düzenlemelerde önceden belirtilmiş davranışlar için yaptırım uygulanır.</w:t>
      </w:r>
    </w:p>
    <w:p>
      <w:pPr>
        <w:pStyle w:val="ListParagraph"/>
        <w:numPr>
          <w:ilvl w:val="0"/>
          <w:numId w:val="2"/>
        </w:numPr>
        <w:spacing w:after="80" w:line="290"/>
      </w:pPr>
      <w:r>
        <w:rPr>
          <w:rFonts w:ascii="Calibri" w:cs="Calibri" w:eastAsia="Calibri" w:hAnsi="Calibri"/>
          <w:b/>
          <w:bCs/>
          <w:color w:val="3A4A61"/>
          <w:sz w:val="21"/>
          <w:szCs w:val="21"/>
        </w:rPr>
        <w:t xml:space="preserve">Orantılılık:</w:t>
      </w:r>
      <w:r>
        <w:rPr>
          <w:rFonts w:ascii="Calibri" w:cs="Calibri" w:eastAsia="Calibri" w:hAnsi="Calibri"/>
          <w:color w:val="3A4A61"/>
          <w:sz w:val="21"/>
          <w:szCs w:val="21"/>
        </w:rPr>
        <w:t xml:space="preserve"> Yaptırım, ihlalin ağırlığı, kusurun derecesi, sonuçları ve çalışanın geçmiş sicili ile orantılı olur.</w:t>
      </w:r>
    </w:p>
    <w:p>
      <w:pPr>
        <w:pStyle w:val="ListParagraph"/>
        <w:numPr>
          <w:ilvl w:val="0"/>
          <w:numId w:val="2"/>
        </w:numPr>
        <w:spacing w:after="80" w:line="290"/>
      </w:pPr>
      <w:r>
        <w:rPr>
          <w:rFonts w:ascii="Calibri" w:cs="Calibri" w:eastAsia="Calibri" w:hAnsi="Calibri"/>
          <w:b/>
          <w:bCs/>
          <w:color w:val="3A4A61"/>
          <w:sz w:val="21"/>
          <w:szCs w:val="21"/>
        </w:rPr>
        <w:t xml:space="preserve">Eşit davranma:</w:t>
      </w:r>
      <w:r>
        <w:rPr>
          <w:rFonts w:ascii="Calibri" w:cs="Calibri" w:eastAsia="Calibri" w:hAnsi="Calibri"/>
          <w:color w:val="3A4A61"/>
          <w:sz w:val="21"/>
          <w:szCs w:val="21"/>
        </w:rPr>
        <w:t xml:space="preserve"> Benzer durumdaki çalışanlara benzer yaptırım uygulanır; dil, ırk, cinsiyet, siyasi düşünce, felsefi inanç, din, mezhep ve benzeri nedenlerle ayrım yapılamaz.</w:t>
      </w:r>
    </w:p>
    <w:p>
      <w:pPr>
        <w:pStyle w:val="ListParagraph"/>
        <w:numPr>
          <w:ilvl w:val="0"/>
          <w:numId w:val="2"/>
        </w:numPr>
        <w:spacing w:after="80" w:line="290"/>
      </w:pPr>
      <w:r>
        <w:rPr>
          <w:rFonts w:ascii="Calibri" w:cs="Calibri" w:eastAsia="Calibri" w:hAnsi="Calibri"/>
          <w:b/>
          <w:bCs/>
          <w:color w:val="3A4A61"/>
          <w:sz w:val="21"/>
          <w:szCs w:val="21"/>
        </w:rPr>
        <w:t xml:space="preserve">Savunma hakkı:</w:t>
      </w:r>
      <w:r>
        <w:rPr>
          <w:rFonts w:ascii="Calibri" w:cs="Calibri" w:eastAsia="Calibri" w:hAnsi="Calibri"/>
          <w:color w:val="3A4A61"/>
          <w:sz w:val="21"/>
          <w:szCs w:val="21"/>
        </w:rPr>
        <w:t xml:space="preserve"> Sözlü uyarı dışındaki her yaptırımdan önce çalışanın yazılı savunması istenir.</w:t>
      </w:r>
    </w:p>
    <w:p>
      <w:pPr>
        <w:pStyle w:val="ListParagraph"/>
        <w:numPr>
          <w:ilvl w:val="0"/>
          <w:numId w:val="2"/>
        </w:numPr>
        <w:spacing w:after="80" w:line="290"/>
      </w:pPr>
      <w:r>
        <w:rPr>
          <w:rFonts w:ascii="Calibri" w:cs="Calibri" w:eastAsia="Calibri" w:hAnsi="Calibri"/>
          <w:b/>
          <w:bCs/>
          <w:color w:val="3A4A61"/>
          <w:sz w:val="21"/>
          <w:szCs w:val="21"/>
        </w:rPr>
        <w:t xml:space="preserve">Tek yaptırım:</w:t>
      </w:r>
      <w:r>
        <w:rPr>
          <w:rFonts w:ascii="Calibri" w:cs="Calibri" w:eastAsia="Calibri" w:hAnsi="Calibri"/>
          <w:color w:val="3A4A61"/>
          <w:sz w:val="21"/>
          <w:szCs w:val="21"/>
        </w:rPr>
        <w:t xml:space="preserve"> Aynı fiil nedeniyle birden fazla disiplin yaptırımı uygulanmaz.</w:t>
      </w:r>
    </w:p>
    <w:p>
      <w:pPr>
        <w:pStyle w:val="ListParagraph"/>
        <w:numPr>
          <w:ilvl w:val="0"/>
          <w:numId w:val="2"/>
        </w:numPr>
        <w:spacing w:after="80" w:line="290"/>
      </w:pPr>
      <w:r>
        <w:rPr>
          <w:rFonts w:ascii="Calibri" w:cs="Calibri" w:eastAsia="Calibri" w:hAnsi="Calibri"/>
          <w:b/>
          <w:bCs/>
          <w:color w:val="3A4A61"/>
          <w:sz w:val="21"/>
          <w:szCs w:val="21"/>
        </w:rPr>
        <w:t xml:space="preserve">Kademelilik:</w:t>
      </w:r>
      <w:r>
        <w:rPr>
          <w:rFonts w:ascii="Calibri" w:cs="Calibri" w:eastAsia="Calibri" w:hAnsi="Calibri"/>
          <w:color w:val="3A4A61"/>
          <w:sz w:val="21"/>
          <w:szCs w:val="21"/>
        </w:rPr>
        <w:t xml:space="preserve"> Ağır ihlaller dışında, yaptırımlar mümkün olduğunca uyarıdan başlayarak kademeli uygulanır; amaç cezalandırmaktan çok davranışın düzeltilmesidir.</w:t>
      </w:r>
    </w:p>
    <w:p>
      <w:pPr>
        <w:pStyle w:val="ListParagraph"/>
        <w:numPr>
          <w:ilvl w:val="0"/>
          <w:numId w:val="2"/>
        </w:numPr>
        <w:spacing w:after="80" w:line="290"/>
      </w:pPr>
      <w:r>
        <w:rPr>
          <w:rFonts w:ascii="Calibri" w:cs="Calibri" w:eastAsia="Calibri" w:hAnsi="Calibri"/>
          <w:b/>
          <w:bCs/>
          <w:color w:val="3A4A61"/>
          <w:sz w:val="21"/>
          <w:szCs w:val="21"/>
        </w:rPr>
        <w:t xml:space="preserve">Gizlilik:</w:t>
      </w:r>
      <w:r>
        <w:rPr>
          <w:rFonts w:ascii="Calibri" w:cs="Calibri" w:eastAsia="Calibri" w:hAnsi="Calibri"/>
          <w:color w:val="3A4A61"/>
          <w:sz w:val="21"/>
          <w:szCs w:val="21"/>
        </w:rPr>
        <w:t xml:space="preserve"> Disiplin süreci ve kayıtları gizlidir; yalnızca yetkili kişilerle paylaşılır.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Disiplin Kurulu</w:t>
      </w:r>
    </w:p>
    <w:p>
      <w:pPr>
        <w:spacing w:after="120" w:before="0" w:line="300"/>
        <w:jc w:val="both"/>
      </w:pPr>
      <w:r>
        <w:rPr>
          <w:rFonts w:ascii="Calibri" w:cs="Calibri" w:eastAsia="Calibri" w:hAnsi="Calibri"/>
          <w:color w:val="3A4A61"/>
          <w:sz w:val="21"/>
          <w:szCs w:val="21"/>
        </w:rPr>
        <w:t xml:space="preserve">Disiplin Kurulu, </w:t>
      </w:r>
      <w:r>
        <w:rPr>
          <w:rFonts w:ascii="Calibri" w:cs="Calibri" w:eastAsia="Calibri" w:hAnsi="Calibri"/>
          <w:b/>
          <w:bCs/>
          <w:color w:val="3A4A61"/>
          <w:sz w:val="21"/>
          <w:szCs w:val="21"/>
        </w:rPr>
        <w:t xml:space="preserve">[Genel Müdür]</w:t>
      </w:r>
      <w:r>
        <w:rPr>
          <w:rFonts w:ascii="Calibri" w:cs="Calibri" w:eastAsia="Calibri" w:hAnsi="Calibri"/>
          <w:color w:val="3A4A61"/>
          <w:sz w:val="21"/>
          <w:szCs w:val="21"/>
        </w:rPr>
        <w:t xml:space="preserve"> tarafından </w:t>
      </w:r>
      <w:r>
        <w:rPr>
          <w:rFonts w:ascii="Calibri" w:cs="Calibri" w:eastAsia="Calibri" w:hAnsi="Calibri"/>
          <w:b/>
          <w:bCs/>
          <w:color w:val="3A4A61"/>
          <w:sz w:val="21"/>
          <w:szCs w:val="21"/>
        </w:rPr>
        <w:t xml:space="preserve">[iki]</w:t>
      </w:r>
      <w:r>
        <w:rPr>
          <w:rFonts w:ascii="Calibri" w:cs="Calibri" w:eastAsia="Calibri" w:hAnsi="Calibri"/>
          <w:color w:val="3A4A61"/>
          <w:sz w:val="21"/>
          <w:szCs w:val="21"/>
        </w:rPr>
        <w:t xml:space="preserve"> yıllık süre için görevlendirilen aşağıdaki üyelerden oluşur. Her asıl üye için bir yedek üye belirlenir.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4015"/>
        <w:gridCol w:w="3214"/>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w:t>
            </w:r>
          </w:p>
        </w:tc>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Unvan</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Kurul Başkanı</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[İnsan Kaynakları Müdürü]</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Üye</w:t>
            </w:r>
          </w:p>
        </w:tc>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[İlgili Bölüm Müdürü]</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Üye</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[Hukuk / İdari İşler Temsilcisi]</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Üye (varsa)</w:t>
            </w:r>
          </w:p>
        </w:tc>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[Çalışan Temsilcisi]</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Raportör (oy hakkı yok)</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[İK Uzmanı]</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bl>
    <w:p>
      <w:pPr>
        <w:spacing w:after="120" w:before="0"/>
      </w:pPr>
    </w:p>
    <w:p>
      <w:pPr>
        <w:pStyle w:val="ListParagraph"/>
        <w:numPr>
          <w:ilvl w:val="0"/>
          <w:numId w:val="3"/>
        </w:numPr>
        <w:spacing w:after="80" w:line="290"/>
      </w:pPr>
      <w:r>
        <w:rPr>
          <w:rFonts w:ascii="Calibri" w:cs="Calibri" w:eastAsia="Calibri" w:hAnsi="Calibri"/>
          <w:color w:val="3A4A61"/>
          <w:sz w:val="21"/>
          <w:szCs w:val="21"/>
        </w:rPr>
        <w:t xml:space="preserve">Kurul, üye tam sayısının salt çoğunluğu ile toplanır ve katılanların oy çokluğu ile karar verir; oyların eşitliği halinde başkanın oyu belirleyicidir.</w:t>
      </w:r>
    </w:p>
    <w:p>
      <w:pPr>
        <w:pStyle w:val="ListParagraph"/>
        <w:numPr>
          <w:ilvl w:val="0"/>
          <w:numId w:val="3"/>
        </w:numPr>
        <w:spacing w:after="80" w:line="290"/>
      </w:pPr>
      <w:r>
        <w:rPr>
          <w:rFonts w:ascii="Calibri" w:cs="Calibri" w:eastAsia="Calibri" w:hAnsi="Calibri"/>
          <w:color w:val="3A4A61"/>
          <w:sz w:val="21"/>
          <w:szCs w:val="21"/>
        </w:rPr>
        <w:t xml:space="preserve">Soruşturmaya konu olayın tarafı, tanığı, ihlali bildiren kişi veya çalışanın yakını olan üye o dosyada görev alamaz; yerine yedek üye katılır.</w:t>
      </w:r>
    </w:p>
    <w:p>
      <w:pPr>
        <w:pStyle w:val="ListParagraph"/>
        <w:numPr>
          <w:ilvl w:val="0"/>
          <w:numId w:val="3"/>
        </w:numPr>
        <w:spacing w:after="80" w:line="290"/>
      </w:pPr>
      <w:r>
        <w:rPr>
          <w:rFonts w:ascii="Calibri" w:cs="Calibri" w:eastAsia="Calibri" w:hAnsi="Calibri"/>
          <w:color w:val="3A4A61"/>
          <w:sz w:val="21"/>
          <w:szCs w:val="21"/>
        </w:rPr>
        <w:t xml:space="preserve">Kurul, dosyayı kendisine intikal ettiği tarihten itibaren en geç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içinde karara bağlar. Haklı nedenle fesih değerlendirmesi gerektiren dosyalarda İş Kanunu md. 26'daki altı iş günlük süre gözetilerek öncelikli toplanılır.</w:t>
      </w:r>
    </w:p>
    <w:p>
      <w:pPr>
        <w:pStyle w:val="ListParagraph"/>
        <w:numPr>
          <w:ilvl w:val="0"/>
          <w:numId w:val="3"/>
        </w:numPr>
        <w:spacing w:after="80" w:line="290"/>
      </w:pPr>
      <w:r>
        <w:rPr>
          <w:rFonts w:ascii="Calibri" w:cs="Calibri" w:eastAsia="Calibri" w:hAnsi="Calibri"/>
          <w:color w:val="3A4A61"/>
          <w:sz w:val="21"/>
          <w:szCs w:val="21"/>
        </w:rPr>
        <w:t xml:space="preserve">Kurul toplantıları tutanakla kayıt altına alınır; kararlar gerekçeli yazılır ve üyelerce imzalanır.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Disiplin Süreci</w:t>
      </w:r>
    </w:p>
    <w:p>
      <w:pPr>
        <w:pStyle w:val="ListParagraph"/>
        <w:numPr>
          <w:ilvl w:val="0"/>
          <w:numId w:val="4"/>
        </w:numPr>
        <w:spacing w:after="80" w:line="290"/>
      </w:pPr>
      <w:r>
        <w:rPr>
          <w:rFonts w:ascii="Calibri" w:cs="Calibri" w:eastAsia="Calibri" w:hAnsi="Calibri"/>
          <w:b/>
          <w:bCs/>
          <w:color w:val="3A4A61"/>
          <w:sz w:val="21"/>
          <w:szCs w:val="21"/>
        </w:rPr>
        <w:t xml:space="preserve">Bildirim:</w:t>
      </w:r>
      <w:r>
        <w:rPr>
          <w:rFonts w:ascii="Calibri" w:cs="Calibri" w:eastAsia="Calibri" w:hAnsi="Calibri"/>
          <w:color w:val="3A4A61"/>
          <w:sz w:val="21"/>
          <w:szCs w:val="21"/>
        </w:rPr>
        <w:t xml:space="preserve"> İhlali tespit eden yönetici veya çalışan, olayı en kısa sürede İnsan Kaynaklarına yazılı olarak bildirir. Mümkünse olay yerinde tutanak düzenlenir ve tanık imzaları alınır.</w:t>
      </w:r>
    </w:p>
    <w:p>
      <w:pPr>
        <w:pStyle w:val="ListParagraph"/>
        <w:numPr>
          <w:ilvl w:val="0"/>
          <w:numId w:val="4"/>
        </w:numPr>
        <w:spacing w:after="80" w:line="290"/>
      </w:pPr>
      <w:r>
        <w:rPr>
          <w:rFonts w:ascii="Calibri" w:cs="Calibri" w:eastAsia="Calibri" w:hAnsi="Calibri"/>
          <w:b/>
          <w:bCs/>
          <w:color w:val="3A4A61"/>
          <w:sz w:val="21"/>
          <w:szCs w:val="21"/>
        </w:rPr>
        <w:t xml:space="preserve">Ön inceleme:</w:t>
      </w:r>
      <w:r>
        <w:rPr>
          <w:rFonts w:ascii="Calibri" w:cs="Calibri" w:eastAsia="Calibri" w:hAnsi="Calibri"/>
          <w:color w:val="3A4A61"/>
          <w:sz w:val="21"/>
          <w:szCs w:val="21"/>
        </w:rPr>
        <w:t xml:space="preserve"> İnsan Kaynakları; belge, kamera kaydı, sistem kaydı ve tanık beyanları gibi delilleri toplar ve dosya oluşturur.</w:t>
      </w:r>
    </w:p>
    <w:p>
      <w:pPr>
        <w:pStyle w:val="ListParagraph"/>
        <w:numPr>
          <w:ilvl w:val="0"/>
          <w:numId w:val="4"/>
        </w:numPr>
        <w:spacing w:after="80" w:line="290"/>
      </w:pPr>
      <w:r>
        <w:rPr>
          <w:rFonts w:ascii="Calibri" w:cs="Calibri" w:eastAsia="Calibri" w:hAnsi="Calibri"/>
          <w:b/>
          <w:bCs/>
          <w:color w:val="3A4A61"/>
          <w:sz w:val="21"/>
          <w:szCs w:val="21"/>
        </w:rPr>
        <w:t xml:space="preserve">Savunma istemi:</w:t>
      </w:r>
      <w:r>
        <w:rPr>
          <w:rFonts w:ascii="Calibri" w:cs="Calibri" w:eastAsia="Calibri" w:hAnsi="Calibri"/>
          <w:color w:val="3A4A61"/>
          <w:sz w:val="21"/>
          <w:szCs w:val="21"/>
        </w:rPr>
        <w:t xml:space="preserve"> Çalışana, isnat edilen olay tarih, yer ve içerik bakımından açıkça yazılarak savunma istem yazısı tebliğ edilir. Çalışana savunmasını hazırlaması için en az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makul süre verilir; savunma yazılı olarak alınır. Çalışan isterse işyerindeki sendika temsilcisinden yardım alabilir.</w:t>
      </w:r>
    </w:p>
    <w:p>
      <w:pPr>
        <w:pStyle w:val="ListParagraph"/>
        <w:numPr>
          <w:ilvl w:val="0"/>
          <w:numId w:val="4"/>
        </w:numPr>
        <w:spacing w:after="80" w:line="290"/>
      </w:pPr>
      <w:r>
        <w:rPr>
          <w:rFonts w:ascii="Calibri" w:cs="Calibri" w:eastAsia="Calibri" w:hAnsi="Calibri"/>
          <w:b/>
          <w:bCs/>
          <w:color w:val="3A4A61"/>
          <w:sz w:val="21"/>
          <w:szCs w:val="21"/>
        </w:rPr>
        <w:t xml:space="preserve">Savunma vermeme:</w:t>
      </w:r>
      <w:r>
        <w:rPr>
          <w:rFonts w:ascii="Calibri" w:cs="Calibri" w:eastAsia="Calibri" w:hAnsi="Calibri"/>
          <w:color w:val="3A4A61"/>
          <w:sz w:val="21"/>
          <w:szCs w:val="21"/>
        </w:rPr>
        <w:t xml:space="preserve"> Süresi içinde savunma vermeyen veya tebellüğden kaçınan çalışan için tutanak düzenlenir ve savunma hakkından vazgeçmiş sayılarak süreç dosya üzerinden yürütülür.</w:t>
      </w:r>
    </w:p>
    <w:p>
      <w:pPr>
        <w:pStyle w:val="ListParagraph"/>
        <w:numPr>
          <w:ilvl w:val="0"/>
          <w:numId w:val="4"/>
        </w:numPr>
        <w:spacing w:after="80" w:line="290"/>
      </w:pPr>
      <w:r>
        <w:rPr>
          <w:rFonts w:ascii="Calibri" w:cs="Calibri" w:eastAsia="Calibri" w:hAnsi="Calibri"/>
          <w:b/>
          <w:bCs/>
          <w:color w:val="3A4A61"/>
          <w:sz w:val="21"/>
          <w:szCs w:val="21"/>
        </w:rPr>
        <w:t xml:space="preserve">Değerlendirme ve karar:</w:t>
      </w:r>
      <w:r>
        <w:rPr>
          <w:rFonts w:ascii="Calibri" w:cs="Calibri" w:eastAsia="Calibri" w:hAnsi="Calibri"/>
          <w:color w:val="3A4A61"/>
          <w:sz w:val="21"/>
          <w:szCs w:val="21"/>
        </w:rPr>
        <w:t xml:space="preserve"> Disiplin Kurulu; delilleri, savunmayı, çalışanın kıdem ve sicilini değerlendirerek gerekçeli kararını verir.</w:t>
      </w:r>
    </w:p>
    <w:p>
      <w:pPr>
        <w:pStyle w:val="ListParagraph"/>
        <w:numPr>
          <w:ilvl w:val="0"/>
          <w:numId w:val="4"/>
        </w:numPr>
        <w:spacing w:after="80" w:line="290"/>
      </w:pPr>
      <w:r>
        <w:rPr>
          <w:rFonts w:ascii="Calibri" w:cs="Calibri" w:eastAsia="Calibri" w:hAnsi="Calibri"/>
          <w:b/>
          <w:bCs/>
          <w:color w:val="3A4A61"/>
          <w:sz w:val="21"/>
          <w:szCs w:val="21"/>
        </w:rPr>
        <w:t xml:space="preserve">Tebliğ:</w:t>
      </w:r>
      <w:r>
        <w:rPr>
          <w:rFonts w:ascii="Calibri" w:cs="Calibri" w:eastAsia="Calibri" w:hAnsi="Calibri"/>
          <w:color w:val="3A4A61"/>
          <w:sz w:val="21"/>
          <w:szCs w:val="21"/>
        </w:rPr>
        <w:t xml:space="preserve"> Karar, yaptırımın gerekçesi ile birlikte çalışana yazılı olarak tebliğ edilir ve bir örneği özlük dosyasına konur. Fesih kararlarında fesih bildirimi yazılı yapılır ve fesih sebebi açık ve kesin olarak belirtilir.</w:t>
      </w:r>
    </w:p>
    <w:p>
      <w:pPr>
        <w:pStyle w:val="ListParagraph"/>
        <w:numPr>
          <w:ilvl w:val="0"/>
          <w:numId w:val="4"/>
        </w:numPr>
        <w:spacing w:after="80" w:line="290"/>
      </w:pPr>
      <w:r>
        <w:rPr>
          <w:rFonts w:ascii="Calibri" w:cs="Calibri" w:eastAsia="Calibri" w:hAnsi="Calibri"/>
          <w:b/>
          <w:bCs/>
          <w:color w:val="3A4A61"/>
          <w:sz w:val="21"/>
          <w:szCs w:val="21"/>
        </w:rPr>
        <w:t xml:space="preserve">İtiraz:</w:t>
      </w:r>
      <w:r>
        <w:rPr>
          <w:rFonts w:ascii="Calibri" w:cs="Calibri" w:eastAsia="Calibri" w:hAnsi="Calibri"/>
          <w:color w:val="3A4A61"/>
          <w:sz w:val="21"/>
          <w:szCs w:val="21"/>
        </w:rPr>
        <w:t xml:space="preserve"> Çalışan, sözlü uyarı dışındaki yaptırımlara karşı tebliğden itibaren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içinde </w:t>
      </w:r>
      <w:r>
        <w:rPr>
          <w:rFonts w:ascii="Calibri" w:cs="Calibri" w:eastAsia="Calibri" w:hAnsi="Calibri"/>
          <w:b/>
          <w:bCs/>
          <w:color w:val="3A4A61"/>
          <w:sz w:val="21"/>
          <w:szCs w:val="21"/>
        </w:rPr>
        <w:t xml:space="preserve">[Genel Müdür]</w:t>
      </w:r>
      <w:r>
        <w:rPr>
          <w:rFonts w:ascii="Calibri" w:cs="Calibri" w:eastAsia="Calibri" w:hAnsi="Calibri"/>
          <w:color w:val="3A4A61"/>
          <w:sz w:val="21"/>
          <w:szCs w:val="21"/>
        </w:rPr>
        <w:t xml:space="preserve">'e yazılı itiraz edebilir. İtiraz, yargı yoluna başvuru hakkını ortadan kaldırmaz.</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Disiplin Yaptırımları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913"/>
        <w:gridCol w:w="6725"/>
      </w:tblGrid>
      <w:tr>
        <w:trPr>
          <w:cantSplit/>
          <w:trHeight w:val="400" w:hRule="atLeast"/>
        </w:trPr>
        <w:tc>
          <w:tcPr>
            <w:tcW w:type="dxa" w:w="29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Yaptırım</w:t>
            </w:r>
          </w:p>
        </w:tc>
        <w:tc>
          <w:tcPr>
            <w:tcW w:type="dxa" w:w="672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Uygulama Esası</w:t>
            </w:r>
          </w:p>
        </w:tc>
      </w:tr>
      <w:tr>
        <w:trPr>
          <w:cantSplit/>
          <w:trHeight w:val="380" w:hRule="atLeast"/>
        </w:trPr>
        <w:tc>
          <w:tcPr>
            <w:tcW w:type="dxa" w:w="29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Sözlü uyarı</w:t>
            </w:r>
          </w:p>
        </w:tc>
        <w:tc>
          <w:tcPr>
            <w:tcW w:type="dxa" w:w="67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kez gerçekleşen hafif ihlaller için birim yöneticisi tarafından yapılır; görüşme kısa bir notla kayıt altına alınır.</w:t>
            </w:r>
          </w:p>
        </w:tc>
      </w:tr>
      <w:tr>
        <w:trPr>
          <w:cantSplit/>
          <w:trHeight w:val="380" w:hRule="atLeast"/>
        </w:trPr>
        <w:tc>
          <w:tcPr>
            <w:tcW w:type="dxa" w:w="29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Yazılı uyarı</w:t>
            </w:r>
          </w:p>
        </w:tc>
        <w:tc>
          <w:tcPr>
            <w:tcW w:type="dxa" w:w="67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Hafif ihlalin tekrarı veya orta derecedeki ihlaller için, savunma alınarak verilir.</w:t>
            </w:r>
          </w:p>
        </w:tc>
      </w:tr>
      <w:tr>
        <w:trPr>
          <w:cantSplit/>
          <w:trHeight w:val="380" w:hRule="atLeast"/>
        </w:trPr>
        <w:tc>
          <w:tcPr>
            <w:tcW w:type="dxa" w:w="29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Kınama / son uyarı</w:t>
            </w:r>
          </w:p>
        </w:tc>
        <w:tc>
          <w:tcPr>
            <w:tcW w:type="dxa" w:w="67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Orta derecedeki ihlalin tekrarı veya ağır sonuç doğuran ihlaller için; tekrarı halinde iş sözleşmesinin feshedilebileceği açıkça belirtilir.</w:t>
            </w:r>
          </w:p>
        </w:tc>
      </w:tr>
      <w:tr>
        <w:trPr>
          <w:cantSplit/>
          <w:trHeight w:val="380" w:hRule="atLeast"/>
        </w:trPr>
        <w:tc>
          <w:tcPr>
            <w:tcW w:type="dxa" w:w="29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kesme</w:t>
            </w:r>
          </w:p>
        </w:tc>
        <w:tc>
          <w:tcPr>
            <w:tcW w:type="dxa" w:w="67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Yalnızca iş sözleşmesinde veya toplu iş sözleşmesinde gösterilen sebeplerle uygulanır; İş Kanunu md. 38 uyarınca bir ayda iki gündelikten fazla olamaz ve sebebiyle birlikte çalışana derhal bildirilir.</w:t>
            </w:r>
          </w:p>
        </w:tc>
      </w:tr>
      <w:tr>
        <w:trPr>
          <w:cantSplit/>
          <w:trHeight w:val="380" w:hRule="atLeast"/>
        </w:trPr>
        <w:tc>
          <w:tcPr>
            <w:tcW w:type="dxa" w:w="29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Geçerli nedenle fesih</w:t>
            </w:r>
          </w:p>
        </w:tc>
        <w:tc>
          <w:tcPr>
            <w:tcW w:type="dxa" w:w="67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davranışından kaynaklanan ve iş ilişkisinin sürdürülmesini beklenemez kılan durumlarda, savunma alınarak ve İş Kanunu md. 17–21 hükümlerine uygun olarak.</w:t>
            </w:r>
          </w:p>
        </w:tc>
      </w:tr>
      <w:tr>
        <w:trPr>
          <w:cantSplit/>
          <w:trHeight w:val="380" w:hRule="atLeast"/>
        </w:trPr>
        <w:tc>
          <w:tcPr>
            <w:tcW w:type="dxa" w:w="29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Haklı nedenle derhal fesih</w:t>
            </w:r>
          </w:p>
        </w:tc>
        <w:tc>
          <w:tcPr>
            <w:tcW w:type="dxa" w:w="67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Kanunu md. 25/II'de sayılan ahlak ve iyi niyet kurallarına uymayan haller; md. 26'daki altı iş günü ve bir yıllık süreler içinde.</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Ücret Kesme Cezası Hakkında</w:t>
            </w:r>
          </w:p>
          <w:p>
            <w:pPr>
              <w:spacing w:after="20" w:line="280"/>
            </w:pPr>
            <w:r>
              <w:rPr>
                <w:rFonts w:ascii="Calibri" w:cs="Calibri" w:eastAsia="Calibri" w:hAnsi="Calibri"/>
                <w:color w:val="3A4A61"/>
                <w:sz w:val="19"/>
                <w:szCs w:val="19"/>
              </w:rPr>
              <w:t xml:space="preserve">İş Kanunu md. 38'e göre işçiye toplu iş sözleşmesinde veya iş sözleşmesinde gösterilmiş olan sebepler dışında ücret kesme cezası verilemez. Bu nedenle ücret kesme uygulanacaksa yönetmelik, iş sözleşmesine eklenerek çalışana imzalatılmalıdır. Kesilen tutarlar çalışanların eğitimi ve sosyal hizmetleri için kullanılmak üzere mevzuatta belirtilen hesaba yatırılır; işveren kendi gelirine kaydedemez.</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İhlal Türleri ve Yaptırım Tablosu</w:t>
      </w:r>
    </w:p>
    <w:p>
      <w:pPr>
        <w:spacing w:after="120" w:before="0" w:line="300"/>
        <w:jc w:val="both"/>
      </w:pPr>
      <w:r>
        <w:rPr>
          <w:rFonts w:ascii="Calibri" w:cs="Calibri" w:eastAsia="Calibri" w:hAnsi="Calibri"/>
          <w:color w:val="3A4A61"/>
          <w:sz w:val="21"/>
          <w:szCs w:val="21"/>
        </w:rPr>
        <w:t xml:space="preserve">Aşağıdaki tablo, ihlal kategorilerine göre önerilen yaptırımları gösterir. Tablodaki örnekler sınırlayıcı değildir; benzer nitelikteki davranışlar en yakın kategoriye göre değerlendirilir. Yaptırım, somut olayın koşullarına göre bir alt veya üst kademede belirlenebilir.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325"/>
        <w:gridCol w:w="4337"/>
        <w:gridCol w:w="1807"/>
        <w:gridCol w:w="2169"/>
      </w:tblGrid>
      <w:tr>
        <w:trPr>
          <w:cantSplit/>
          <w:trHeight w:val="400" w:hRule="atLeast"/>
        </w:trPr>
        <w:tc>
          <w:tcPr>
            <w:tcW w:type="dxa" w:w="132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Kategori</w:t>
            </w:r>
          </w:p>
        </w:tc>
        <w:tc>
          <w:tcPr>
            <w:tcW w:type="dxa" w:w="433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Örnek İhlaller</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İlk Kez</w:t>
            </w:r>
          </w:p>
        </w:tc>
        <w:tc>
          <w:tcPr>
            <w:tcW w:type="dxa" w:w="216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Tekrarında</w:t>
            </w:r>
          </w:p>
        </w:tc>
      </w:tr>
      <w:tr>
        <w:trPr>
          <w:cantSplit/>
          <w:trHeight w:val="380" w:hRule="atLeast"/>
        </w:trPr>
        <w:tc>
          <w:tcPr>
            <w:tcW w:type="dxa" w:w="13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 — Hafif</w:t>
            </w:r>
          </w:p>
        </w:tc>
        <w:tc>
          <w:tcPr>
            <w:tcW w:type="dxa" w:w="433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veya toplantılara mazeretsiz geç kalma; mesai saatlerinde işle ilgisi olmayan uzun süreli meşguliyet; kılık-kıyafet ve temizlik kurallarına uymama; izin ve rapor bildirimini geciktirme</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Sözlü uyarı</w:t>
            </w:r>
          </w:p>
        </w:tc>
        <w:tc>
          <w:tcPr>
            <w:tcW w:type="dxa" w:w="216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Yazılı uyarı</w:t>
            </w:r>
          </w:p>
        </w:tc>
      </w:tr>
      <w:tr>
        <w:trPr>
          <w:cantSplit/>
          <w:trHeight w:val="380" w:hRule="atLeast"/>
        </w:trPr>
        <w:tc>
          <w:tcPr>
            <w:tcW w:type="dxa" w:w="13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 — Orta</w:t>
            </w:r>
          </w:p>
        </w:tc>
        <w:tc>
          <w:tcPr>
            <w:tcW w:type="dxa" w:w="433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Amirin işle ilgili meşru talimatlarına uymama; işyeri kaynaklarını özensiz kullanma; iş arkadaşlarına karşı saygısız davranış; kişisel koruyucu donanımı kullanmama; gizlilik kurallarına hafif aykırılık</w:t>
            </w:r>
          </w:p>
        </w:tc>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Yazılı uyarı</w:t>
            </w:r>
          </w:p>
        </w:tc>
        <w:tc>
          <w:tcPr>
            <w:tcW w:type="dxa" w:w="216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Kınama / son uyarı; ücret kesme (sözleşmede öngörülmüşse)</w:t>
            </w:r>
          </w:p>
        </w:tc>
      </w:tr>
      <w:tr>
        <w:trPr>
          <w:cantSplit/>
          <w:trHeight w:val="380" w:hRule="atLeast"/>
        </w:trPr>
        <w:tc>
          <w:tcPr>
            <w:tcW w:type="dxa" w:w="13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 — Ağır</w:t>
            </w:r>
          </w:p>
        </w:tc>
        <w:tc>
          <w:tcPr>
            <w:tcW w:type="dxa" w:w="433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 kurallarını ağır şekilde ihlal ederek kendisinin veya başkalarının güvenliğini tehlikeye atma; görevi kötüye kullanma; kayıtlarda tahrifat; bilgi güvenliği politikasının ciddi ihlali; işyerinde sarhoşluk veya uyuşturucu etkisi altında bulunma</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Kınama / son uyarı veya fesih değerlendirmesi</w:t>
            </w:r>
          </w:p>
        </w:tc>
        <w:tc>
          <w:tcPr>
            <w:tcW w:type="dxa" w:w="216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Geçerli veya haklı nedenle fesih</w:t>
            </w:r>
          </w:p>
        </w:tc>
      </w:tr>
      <w:tr>
        <w:trPr>
          <w:cantSplit/>
          <w:trHeight w:val="380" w:hRule="atLeast"/>
        </w:trPr>
        <w:tc>
          <w:tcPr>
            <w:tcW w:type="dxa" w:w="13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 — Çok ağır</w:t>
            </w:r>
          </w:p>
        </w:tc>
        <w:tc>
          <w:tcPr>
            <w:tcW w:type="dxa" w:w="433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İşverene güveni kötüye kullanma, hırsızlık, işverenin meslek sırlarını ortaya atma; işyerinde cinsel taciz veya sataşma; işyerinde suç işleme; işveren veya çalışanlara sataşma ya da tehdit; md. 25/II'de sayılan devamsızlık halleri</w:t>
            </w:r>
          </w:p>
        </w:tc>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Haklı nedenle derhal fesih (md. 25/II)</w:t>
            </w:r>
          </w:p>
        </w:tc>
        <w:tc>
          <w:tcPr>
            <w:tcW w:type="dxa" w:w="216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Ağırlaştırıcı ve Hafifletici Haller</w:t>
      </w:r>
    </w:p>
    <w:p>
      <w:pPr>
        <w:pStyle w:val="ListParagraph"/>
        <w:numPr>
          <w:ilvl w:val="0"/>
          <w:numId w:val="3"/>
        </w:numPr>
        <w:spacing w:after="80" w:line="290"/>
      </w:pPr>
      <w:r>
        <w:rPr>
          <w:rFonts w:ascii="Calibri" w:cs="Calibri" w:eastAsia="Calibri" w:hAnsi="Calibri"/>
          <w:b/>
          <w:bCs/>
          <w:color w:val="3A4A61"/>
          <w:sz w:val="21"/>
          <w:szCs w:val="21"/>
        </w:rPr>
        <w:t xml:space="preserve">Ağırlaştırıcı:</w:t>
      </w:r>
      <w:r>
        <w:rPr>
          <w:rFonts w:ascii="Calibri" w:cs="Calibri" w:eastAsia="Calibri" w:hAnsi="Calibri"/>
          <w:color w:val="3A4A61"/>
          <w:sz w:val="21"/>
          <w:szCs w:val="21"/>
        </w:rPr>
        <w:t xml:space="preserve"> Tekerrür; kasıt; ihlalin işyerine, müşterilere veya diğer çalışanlara zarar vermesi; yöneticilik pozisyonunun kötüye kullanılması; süreç sırasında delilleri karartma girişimi.</w:t>
      </w:r>
    </w:p>
    <w:p>
      <w:pPr>
        <w:pStyle w:val="ListParagraph"/>
        <w:numPr>
          <w:ilvl w:val="0"/>
          <w:numId w:val="3"/>
        </w:numPr>
        <w:spacing w:after="80" w:line="290"/>
      </w:pPr>
      <w:r>
        <w:rPr>
          <w:rFonts w:ascii="Calibri" w:cs="Calibri" w:eastAsia="Calibri" w:hAnsi="Calibri"/>
          <w:b/>
          <w:bCs/>
          <w:color w:val="3A4A61"/>
          <w:sz w:val="21"/>
          <w:szCs w:val="21"/>
        </w:rPr>
        <w:t xml:space="preserve">Hafifletici:</w:t>
      </w:r>
      <w:r>
        <w:rPr>
          <w:rFonts w:ascii="Calibri" w:cs="Calibri" w:eastAsia="Calibri" w:hAnsi="Calibri"/>
          <w:color w:val="3A4A61"/>
          <w:sz w:val="21"/>
          <w:szCs w:val="21"/>
        </w:rPr>
        <w:t xml:space="preserve"> Uzun ve temiz sicil; ihlalin kişinin kontrolü dışındaki koşullardan etkilenmiş olması; çalışanın ihlali kendiliğinden bildirmesi ve zararı gidermesi; samimi pişmanlık.</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Kayıt, Saklama ve Sicilin Silinmesi</w:t>
      </w:r>
    </w:p>
    <w:p>
      <w:pPr>
        <w:spacing w:after="120" w:before="0" w:line="300"/>
        <w:jc w:val="both"/>
      </w:pPr>
      <w:r>
        <w:rPr>
          <w:rFonts w:ascii="Calibri" w:cs="Calibri" w:eastAsia="Calibri" w:hAnsi="Calibri"/>
          <w:color w:val="3A4A61"/>
          <w:sz w:val="21"/>
          <w:szCs w:val="21"/>
        </w:rPr>
        <w:t xml:space="preserve">Disiplin süreciyle ilgili tüm belgeler (tutanak, savunma istemi, savunma, kurul kararı, tebliğ belgesi) çalışanın özlük dosyasında saklanır ve kişisel veriler 6698 sayılı Kanun'a uygun olarak korunur. Uyarı niteliğindeki yaptırımlar, tebliğden itibaren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içinde yeni bir ihlal gerçekleşmezse tekerrür değerlendirmesinde dikkate alınmaz.</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Yürürlük ve Tebliğ</w:t>
      </w:r>
    </w:p>
    <w:p>
      <w:pPr>
        <w:spacing w:after="120" w:before="0" w:line="300"/>
        <w:jc w:val="both"/>
      </w:pPr>
      <w:r>
        <w:rPr>
          <w:rFonts w:ascii="Calibri" w:cs="Calibri" w:eastAsia="Calibri" w:hAnsi="Calibri"/>
          <w:color w:val="3A4A61"/>
          <w:sz w:val="21"/>
          <w:szCs w:val="21"/>
        </w:rPr>
        <w:t xml:space="preserve">Bu Yönetmelik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 </w:t>
      </w:r>
      <w:r>
        <w:rPr>
          <w:rFonts w:ascii="Calibri" w:cs="Calibri" w:eastAsia="Calibri" w:hAnsi="Calibri"/>
          <w:b/>
          <w:bCs/>
          <w:color w:val="3A4A61"/>
          <w:sz w:val="21"/>
          <w:szCs w:val="21"/>
        </w:rPr>
        <w:t xml:space="preserve">[Yönetim Kurulu / Genel Müdürlük]</w:t>
      </w:r>
      <w:r>
        <w:rPr>
          <w:rFonts w:ascii="Calibri" w:cs="Calibri" w:eastAsia="Calibri" w:hAnsi="Calibri"/>
          <w:color w:val="3A4A61"/>
          <w:sz w:val="21"/>
          <w:szCs w:val="21"/>
        </w:rPr>
        <w:t xml:space="preserve"> kararıyla kabul edilmiş ve tüm çalışanlara imza karşılığı tebliğ edildiği tarihte yürürlüğe girer. İşe yeni başlayan çalışanlara işe girişte tebliğ edilir. Yönetmelikte yapılan değişiklikler de aynı usulle tebliğ edilir. Yönetmeliği </w:t>
      </w:r>
      <w:r>
        <w:rPr>
          <w:rFonts w:ascii="Calibri" w:cs="Calibri" w:eastAsia="Calibri" w:hAnsi="Calibri"/>
          <w:b/>
          <w:bCs/>
          <w:color w:val="3A4A61"/>
          <w:sz w:val="21"/>
          <w:szCs w:val="21"/>
        </w:rPr>
        <w:t xml:space="preserve">[İnsan Kaynakları Müdürlüğü]</w:t>
      </w:r>
      <w:r>
        <w:rPr>
          <w:rFonts w:ascii="Calibri" w:cs="Calibri" w:eastAsia="Calibri" w:hAnsi="Calibri"/>
          <w:color w:val="3A4A61"/>
          <w:sz w:val="21"/>
          <w:szCs w:val="21"/>
        </w:rPr>
        <w:t xml:space="preserve"> yürütür.</w:t>
      </w:r>
    </w:p>
    <w:p>
      <w:pPr>
        <w:pageBreakBefore/>
        <w:spacing w:before="0" w:after="0" w:line="20"/>
      </w:pPr>
    </w:p>
    <w:p>
      <w:pPr>
        <w:spacing w:after="120" w:before="0" w:line="300"/>
        <w:jc w:val="center"/>
      </w:pPr>
      <w:r>
        <w:rPr>
          <w:rFonts w:ascii="Calibri" w:cs="Calibri" w:eastAsia="Calibri" w:hAnsi="Calibri"/>
          <w:b/>
          <w:bCs/>
          <w:color w:val="3A4A61"/>
          <w:sz w:val="21"/>
          <w:szCs w:val="21"/>
        </w:rPr>
        <w:t xml:space="preserve">EK — DİSİPLİN YÖNETMELİĞİ TEBLİĞ VE OKUNDU BELGESİ</w:t>
      </w:r>
    </w:p>
    <w:p>
      <w:pPr>
        <w:spacing w:after="120" w:before="0" w:line="300"/>
        <w:jc w:val="both"/>
      </w:pPr>
      <w:r>
        <w:rPr>
          <w:rFonts w:ascii="Calibri" w:cs="Calibri" w:eastAsia="Calibri" w:hAnsi="Calibri"/>
          <w:b/>
          <w:bCs/>
          <w:color w:val="3A4A61"/>
          <w:sz w:val="21"/>
          <w:szCs w:val="21"/>
        </w:rPr>
        <w:t xml:space="preserve">[Şirket Unvanı]</w:t>
      </w:r>
      <w:r>
        <w:rPr>
          <w:rFonts w:ascii="Calibri" w:cs="Calibri" w:eastAsia="Calibri" w:hAnsi="Calibri"/>
          <w:color w:val="3A4A61"/>
          <w:sz w:val="21"/>
          <w:szCs w:val="21"/>
        </w:rPr>
        <w:t xml:space="preserve"> Disiplin Yönetmeliği'nin bir örneğini teslim aldım; okudum ve içeriğini anladım. Yönetmelik hükümlerine uyacağımı ve iş sözleşmemin eki olarak kabul ettiğimi beyan ederim.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722"/>
        <w:gridCol w:w="2650"/>
        <w:gridCol w:w="1204"/>
        <w:gridCol w:w="1927"/>
        <w:gridCol w:w="1566"/>
        <w:gridCol w:w="1569"/>
      </w:tblGrid>
      <w:tr>
        <w:trPr>
          <w:cantSplit/>
          <w:trHeight w:val="400" w:hRule="atLeast"/>
        </w:trPr>
        <w:tc>
          <w:tcPr>
            <w:tcW w:type="dxa" w:w="72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Sıra</w:t>
            </w:r>
          </w:p>
        </w:tc>
        <w:tc>
          <w:tcPr>
            <w:tcW w:type="dxa" w:w="265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Sicil No</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Departman</w:t>
            </w:r>
          </w:p>
        </w:tc>
        <w:tc>
          <w:tcPr>
            <w:tcW w:type="dxa" w:w="156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Tebliğ Tarihi</w:t>
            </w:r>
          </w:p>
        </w:tc>
        <w:tc>
          <w:tcPr>
            <w:tcW w:type="dxa" w:w="156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722"/>
            <w:tcMar>
              <w:top w:type="dxa" w:w="60"/>
              <w:left w:type="dxa" w:w="110"/>
              <w:bottom w:type="dxa" w:w="60"/>
              <w:right w:type="dxa" w:w="110"/>
            </w:tcMar>
            <w:vAlign w:val="center"/>
          </w:tcPr>
          <w:p>
            <w:pPr>
              <w:spacing w:before="40" w:after="40"/>
            </w:pPr>
          </w:p>
        </w:tc>
        <w:tc>
          <w:tcPr>
            <w:tcW w:type="dxa" w:w="2650"/>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66"/>
            <w:tcMar>
              <w:top w:type="dxa" w:w="60"/>
              <w:left w:type="dxa" w:w="110"/>
              <w:bottom w:type="dxa" w:w="60"/>
              <w:right w:type="dxa" w:w="110"/>
            </w:tcMar>
            <w:vAlign w:val="center"/>
          </w:tcPr>
          <w:p>
            <w:pPr>
              <w:spacing w:before="40" w:after="40"/>
            </w:pPr>
          </w:p>
        </w:tc>
        <w:tc>
          <w:tcPr>
            <w:tcW w:type="dxa" w:w="1569"/>
            <w:tcMar>
              <w:top w:type="dxa" w:w="60"/>
              <w:left w:type="dxa" w:w="110"/>
              <w:bottom w:type="dxa" w:w="60"/>
              <w:right w:type="dxa" w:w="110"/>
            </w:tcMar>
            <w:vAlign w:val="center"/>
          </w:tcPr>
          <w:p>
            <w:pPr>
              <w:spacing w:before="40" w:after="40"/>
            </w:pPr>
          </w:p>
        </w:tc>
      </w:tr>
      <w:tr>
        <w:trPr>
          <w:cantSplit/>
          <w:trHeight w:val="380" w:hRule="atLeast"/>
        </w:trPr>
        <w:tc>
          <w:tcPr>
            <w:tcW w:type="dxa" w:w="722"/>
            <w:shd w:fill="F5F8FB" w:color="auto" w:val="clear"/>
            <w:tcMar>
              <w:top w:type="dxa" w:w="60"/>
              <w:left w:type="dxa" w:w="110"/>
              <w:bottom w:type="dxa" w:w="60"/>
              <w:right w:type="dxa" w:w="110"/>
            </w:tcMar>
            <w:vAlign w:val="center"/>
          </w:tcPr>
          <w:p>
            <w:pPr>
              <w:spacing w:before="40" w:after="40"/>
            </w:pPr>
          </w:p>
        </w:tc>
        <w:tc>
          <w:tcPr>
            <w:tcW w:type="dxa" w:w="2650"/>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66"/>
            <w:shd w:fill="F5F8FB" w:color="auto" w:val="clear"/>
            <w:tcMar>
              <w:top w:type="dxa" w:w="60"/>
              <w:left w:type="dxa" w:w="110"/>
              <w:bottom w:type="dxa" w:w="60"/>
              <w:right w:type="dxa" w:w="110"/>
            </w:tcMar>
            <w:vAlign w:val="center"/>
          </w:tcPr>
          <w:p>
            <w:pPr>
              <w:spacing w:before="40" w:after="40"/>
            </w:pPr>
          </w:p>
        </w:tc>
        <w:tc>
          <w:tcPr>
            <w:tcW w:type="dxa" w:w="15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22"/>
            <w:tcMar>
              <w:top w:type="dxa" w:w="60"/>
              <w:left w:type="dxa" w:w="110"/>
              <w:bottom w:type="dxa" w:w="60"/>
              <w:right w:type="dxa" w:w="110"/>
            </w:tcMar>
            <w:vAlign w:val="center"/>
          </w:tcPr>
          <w:p>
            <w:pPr>
              <w:spacing w:before="40" w:after="40"/>
            </w:pPr>
          </w:p>
        </w:tc>
        <w:tc>
          <w:tcPr>
            <w:tcW w:type="dxa" w:w="2650"/>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66"/>
            <w:tcMar>
              <w:top w:type="dxa" w:w="60"/>
              <w:left w:type="dxa" w:w="110"/>
              <w:bottom w:type="dxa" w:w="60"/>
              <w:right w:type="dxa" w:w="110"/>
            </w:tcMar>
            <w:vAlign w:val="center"/>
          </w:tcPr>
          <w:p>
            <w:pPr>
              <w:spacing w:before="40" w:after="40"/>
            </w:pPr>
          </w:p>
        </w:tc>
        <w:tc>
          <w:tcPr>
            <w:tcW w:type="dxa" w:w="1569"/>
            <w:tcMar>
              <w:top w:type="dxa" w:w="60"/>
              <w:left w:type="dxa" w:w="110"/>
              <w:bottom w:type="dxa" w:w="60"/>
              <w:right w:type="dxa" w:w="110"/>
            </w:tcMar>
            <w:vAlign w:val="center"/>
          </w:tcPr>
          <w:p>
            <w:pPr>
              <w:spacing w:before="40" w:after="40"/>
            </w:pPr>
          </w:p>
        </w:tc>
      </w:tr>
      <w:tr>
        <w:trPr>
          <w:cantSplit/>
          <w:trHeight w:val="380" w:hRule="atLeast"/>
        </w:trPr>
        <w:tc>
          <w:tcPr>
            <w:tcW w:type="dxa" w:w="722"/>
            <w:shd w:fill="F5F8FB" w:color="auto" w:val="clear"/>
            <w:tcMar>
              <w:top w:type="dxa" w:w="60"/>
              <w:left w:type="dxa" w:w="110"/>
              <w:bottom w:type="dxa" w:w="60"/>
              <w:right w:type="dxa" w:w="110"/>
            </w:tcMar>
            <w:vAlign w:val="center"/>
          </w:tcPr>
          <w:p>
            <w:pPr>
              <w:spacing w:before="40" w:after="40"/>
            </w:pPr>
          </w:p>
        </w:tc>
        <w:tc>
          <w:tcPr>
            <w:tcW w:type="dxa" w:w="2650"/>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66"/>
            <w:shd w:fill="F5F8FB" w:color="auto" w:val="clear"/>
            <w:tcMar>
              <w:top w:type="dxa" w:w="60"/>
              <w:left w:type="dxa" w:w="110"/>
              <w:bottom w:type="dxa" w:w="60"/>
              <w:right w:type="dxa" w:w="110"/>
            </w:tcMar>
            <w:vAlign w:val="center"/>
          </w:tcPr>
          <w:p>
            <w:pPr>
              <w:spacing w:before="40" w:after="40"/>
            </w:pPr>
          </w:p>
        </w:tc>
        <w:tc>
          <w:tcPr>
            <w:tcW w:type="dxa" w:w="15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22"/>
            <w:tcMar>
              <w:top w:type="dxa" w:w="60"/>
              <w:left w:type="dxa" w:w="110"/>
              <w:bottom w:type="dxa" w:w="60"/>
              <w:right w:type="dxa" w:w="110"/>
            </w:tcMar>
            <w:vAlign w:val="center"/>
          </w:tcPr>
          <w:p>
            <w:pPr>
              <w:spacing w:before="40" w:after="40"/>
            </w:pPr>
          </w:p>
        </w:tc>
        <w:tc>
          <w:tcPr>
            <w:tcW w:type="dxa" w:w="2650"/>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66"/>
            <w:tcMar>
              <w:top w:type="dxa" w:w="60"/>
              <w:left w:type="dxa" w:w="110"/>
              <w:bottom w:type="dxa" w:w="60"/>
              <w:right w:type="dxa" w:w="110"/>
            </w:tcMar>
            <w:vAlign w:val="center"/>
          </w:tcPr>
          <w:p>
            <w:pPr>
              <w:spacing w:before="40" w:after="40"/>
            </w:pPr>
          </w:p>
        </w:tc>
        <w:tc>
          <w:tcPr>
            <w:tcW w:type="dxa" w:w="1569"/>
            <w:tcMar>
              <w:top w:type="dxa" w:w="60"/>
              <w:left w:type="dxa" w:w="110"/>
              <w:bottom w:type="dxa" w:w="60"/>
              <w:right w:type="dxa" w:w="110"/>
            </w:tcMar>
            <w:vAlign w:val="center"/>
          </w:tcPr>
          <w:p>
            <w:pPr>
              <w:spacing w:before="40" w:after="40"/>
            </w:pPr>
          </w:p>
        </w:tc>
      </w:tr>
      <w:tr>
        <w:trPr>
          <w:cantSplit/>
          <w:trHeight w:val="380" w:hRule="atLeast"/>
        </w:trPr>
        <w:tc>
          <w:tcPr>
            <w:tcW w:type="dxa" w:w="722"/>
            <w:shd w:fill="F5F8FB" w:color="auto" w:val="clear"/>
            <w:tcMar>
              <w:top w:type="dxa" w:w="60"/>
              <w:left w:type="dxa" w:w="110"/>
              <w:bottom w:type="dxa" w:w="60"/>
              <w:right w:type="dxa" w:w="110"/>
            </w:tcMar>
            <w:vAlign w:val="center"/>
          </w:tcPr>
          <w:p>
            <w:pPr>
              <w:spacing w:before="40" w:after="40"/>
            </w:pPr>
          </w:p>
        </w:tc>
        <w:tc>
          <w:tcPr>
            <w:tcW w:type="dxa" w:w="2650"/>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66"/>
            <w:shd w:fill="F5F8FB" w:color="auto" w:val="clear"/>
            <w:tcMar>
              <w:top w:type="dxa" w:w="60"/>
              <w:left w:type="dxa" w:w="110"/>
              <w:bottom w:type="dxa" w:w="60"/>
              <w:right w:type="dxa" w:w="110"/>
            </w:tcMar>
            <w:vAlign w:val="center"/>
          </w:tcPr>
          <w:p>
            <w:pPr>
              <w:spacing w:before="40" w:after="40"/>
            </w:pPr>
          </w:p>
        </w:tc>
        <w:tc>
          <w:tcPr>
            <w:tcW w:type="dxa" w:w="15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22"/>
            <w:tcMar>
              <w:top w:type="dxa" w:w="60"/>
              <w:left w:type="dxa" w:w="110"/>
              <w:bottom w:type="dxa" w:w="60"/>
              <w:right w:type="dxa" w:w="110"/>
            </w:tcMar>
            <w:vAlign w:val="center"/>
          </w:tcPr>
          <w:p>
            <w:pPr>
              <w:spacing w:before="40" w:after="40"/>
            </w:pPr>
          </w:p>
        </w:tc>
        <w:tc>
          <w:tcPr>
            <w:tcW w:type="dxa" w:w="2650"/>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66"/>
            <w:tcMar>
              <w:top w:type="dxa" w:w="60"/>
              <w:left w:type="dxa" w:w="110"/>
              <w:bottom w:type="dxa" w:w="60"/>
              <w:right w:type="dxa" w:w="110"/>
            </w:tcMar>
            <w:vAlign w:val="center"/>
          </w:tcPr>
          <w:p>
            <w:pPr>
              <w:spacing w:before="40" w:after="40"/>
            </w:pPr>
          </w:p>
        </w:tc>
        <w:tc>
          <w:tcPr>
            <w:tcW w:type="dxa" w:w="1569"/>
            <w:tcMar>
              <w:top w:type="dxa" w:w="60"/>
              <w:left w:type="dxa" w:w="110"/>
              <w:bottom w:type="dxa" w:w="60"/>
              <w:right w:type="dxa" w:w="110"/>
            </w:tcMar>
            <w:vAlign w:val="center"/>
          </w:tcPr>
          <w:p>
            <w:pPr>
              <w:spacing w:before="40" w:after="40"/>
            </w:pPr>
          </w:p>
        </w:tc>
      </w:tr>
      <w:tr>
        <w:trPr>
          <w:cantSplit/>
          <w:trHeight w:val="380" w:hRule="atLeast"/>
        </w:trPr>
        <w:tc>
          <w:tcPr>
            <w:tcW w:type="dxa" w:w="722"/>
            <w:shd w:fill="F5F8FB" w:color="auto" w:val="clear"/>
            <w:tcMar>
              <w:top w:type="dxa" w:w="60"/>
              <w:left w:type="dxa" w:w="110"/>
              <w:bottom w:type="dxa" w:w="60"/>
              <w:right w:type="dxa" w:w="110"/>
            </w:tcMar>
            <w:vAlign w:val="center"/>
          </w:tcPr>
          <w:p>
            <w:pPr>
              <w:spacing w:before="40" w:after="40"/>
            </w:pPr>
          </w:p>
        </w:tc>
        <w:tc>
          <w:tcPr>
            <w:tcW w:type="dxa" w:w="2650"/>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66"/>
            <w:shd w:fill="F5F8FB" w:color="auto" w:val="clear"/>
            <w:tcMar>
              <w:top w:type="dxa" w:w="60"/>
              <w:left w:type="dxa" w:w="110"/>
              <w:bottom w:type="dxa" w:w="60"/>
              <w:right w:type="dxa" w:w="110"/>
            </w:tcMar>
            <w:vAlign w:val="center"/>
          </w:tcPr>
          <w:p>
            <w:pPr>
              <w:spacing w:before="40" w:after="40"/>
            </w:pPr>
          </w:p>
        </w:tc>
        <w:tc>
          <w:tcPr>
            <w:tcW w:type="dxa" w:w="15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22"/>
            <w:tcMar>
              <w:top w:type="dxa" w:w="60"/>
              <w:left w:type="dxa" w:w="110"/>
              <w:bottom w:type="dxa" w:w="60"/>
              <w:right w:type="dxa" w:w="110"/>
            </w:tcMar>
            <w:vAlign w:val="center"/>
          </w:tcPr>
          <w:p>
            <w:pPr>
              <w:spacing w:before="40" w:after="40"/>
            </w:pPr>
          </w:p>
        </w:tc>
        <w:tc>
          <w:tcPr>
            <w:tcW w:type="dxa" w:w="2650"/>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66"/>
            <w:tcMar>
              <w:top w:type="dxa" w:w="60"/>
              <w:left w:type="dxa" w:w="110"/>
              <w:bottom w:type="dxa" w:w="60"/>
              <w:right w:type="dxa" w:w="110"/>
            </w:tcMar>
            <w:vAlign w:val="center"/>
          </w:tcPr>
          <w:p>
            <w:pPr>
              <w:spacing w:before="40" w:after="40"/>
            </w:pPr>
          </w:p>
        </w:tc>
        <w:tc>
          <w:tcPr>
            <w:tcW w:type="dxa" w:w="1569"/>
            <w:tcMar>
              <w:top w:type="dxa" w:w="60"/>
              <w:left w:type="dxa" w:w="110"/>
              <w:bottom w:type="dxa" w:w="60"/>
              <w:right w:type="dxa" w:w="110"/>
            </w:tcMar>
            <w:vAlign w:val="center"/>
          </w:tcPr>
          <w:p>
            <w:pPr>
              <w:spacing w:before="40" w:after="40"/>
            </w:pPr>
          </w:p>
        </w:tc>
      </w:tr>
      <w:tr>
        <w:trPr>
          <w:cantSplit/>
          <w:trHeight w:val="380" w:hRule="atLeast"/>
        </w:trPr>
        <w:tc>
          <w:tcPr>
            <w:tcW w:type="dxa" w:w="722"/>
            <w:shd w:fill="F5F8FB" w:color="auto" w:val="clear"/>
            <w:tcMar>
              <w:top w:type="dxa" w:w="60"/>
              <w:left w:type="dxa" w:w="110"/>
              <w:bottom w:type="dxa" w:w="60"/>
              <w:right w:type="dxa" w:w="110"/>
            </w:tcMar>
            <w:vAlign w:val="center"/>
          </w:tcPr>
          <w:p>
            <w:pPr>
              <w:spacing w:before="40" w:after="40"/>
            </w:pPr>
          </w:p>
        </w:tc>
        <w:tc>
          <w:tcPr>
            <w:tcW w:type="dxa" w:w="2650"/>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66"/>
            <w:shd w:fill="F5F8FB" w:color="auto" w:val="clear"/>
            <w:tcMar>
              <w:top w:type="dxa" w:w="60"/>
              <w:left w:type="dxa" w:w="110"/>
              <w:bottom w:type="dxa" w:w="60"/>
              <w:right w:type="dxa" w:w="110"/>
            </w:tcMar>
            <w:vAlign w:val="center"/>
          </w:tcPr>
          <w:p>
            <w:pPr>
              <w:spacing w:before="40" w:after="40"/>
            </w:pPr>
          </w:p>
        </w:tc>
        <w:tc>
          <w:tcPr>
            <w:tcW w:type="dxa" w:w="15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722"/>
            <w:tcMar>
              <w:top w:type="dxa" w:w="60"/>
              <w:left w:type="dxa" w:w="110"/>
              <w:bottom w:type="dxa" w:w="60"/>
              <w:right w:type="dxa" w:w="110"/>
            </w:tcMar>
            <w:vAlign w:val="center"/>
          </w:tcPr>
          <w:p>
            <w:pPr>
              <w:spacing w:before="40" w:after="40"/>
            </w:pPr>
          </w:p>
        </w:tc>
        <w:tc>
          <w:tcPr>
            <w:tcW w:type="dxa" w:w="2650"/>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66"/>
            <w:tcMar>
              <w:top w:type="dxa" w:w="60"/>
              <w:left w:type="dxa" w:w="110"/>
              <w:bottom w:type="dxa" w:w="60"/>
              <w:right w:type="dxa" w:w="110"/>
            </w:tcMar>
            <w:vAlign w:val="center"/>
          </w:tcPr>
          <w:p>
            <w:pPr>
              <w:spacing w:before="40" w:after="40"/>
            </w:pPr>
          </w:p>
        </w:tc>
        <w:tc>
          <w:tcPr>
            <w:tcW w:type="dxa" w:w="1569"/>
            <w:tcMar>
              <w:top w:type="dxa" w:w="60"/>
              <w:left w:type="dxa" w:w="110"/>
              <w:bottom w:type="dxa" w:w="60"/>
              <w:right w:type="dxa" w:w="110"/>
            </w:tcMar>
            <w:vAlign w:val="center"/>
          </w:tcPr>
          <w:p>
            <w:pPr>
              <w:spacing w:before="40" w:after="40"/>
            </w:pPr>
          </w:p>
        </w:tc>
      </w:tr>
      <w:tr>
        <w:trPr>
          <w:cantSplit/>
          <w:trHeight w:val="380" w:hRule="atLeast"/>
        </w:trPr>
        <w:tc>
          <w:tcPr>
            <w:tcW w:type="dxa" w:w="722"/>
            <w:shd w:fill="F5F8FB" w:color="auto" w:val="clear"/>
            <w:tcMar>
              <w:top w:type="dxa" w:w="60"/>
              <w:left w:type="dxa" w:w="110"/>
              <w:bottom w:type="dxa" w:w="60"/>
              <w:right w:type="dxa" w:w="110"/>
            </w:tcMar>
            <w:vAlign w:val="center"/>
          </w:tcPr>
          <w:p>
            <w:pPr>
              <w:spacing w:before="40" w:after="40"/>
            </w:pPr>
          </w:p>
        </w:tc>
        <w:tc>
          <w:tcPr>
            <w:tcW w:type="dxa" w:w="2650"/>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66"/>
            <w:shd w:fill="F5F8FB" w:color="auto" w:val="clear"/>
            <w:tcMar>
              <w:top w:type="dxa" w:w="60"/>
              <w:left w:type="dxa" w:w="110"/>
              <w:bottom w:type="dxa" w:w="60"/>
              <w:right w:type="dxa" w:w="110"/>
            </w:tcMar>
            <w:vAlign w:val="center"/>
          </w:tcPr>
          <w:p>
            <w:pPr>
              <w:spacing w:before="40" w:after="40"/>
            </w:pPr>
          </w:p>
        </w:tc>
        <w:tc>
          <w:tcPr>
            <w:tcW w:type="dxa" w:w="1569"/>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Yönetmeliği Tebliğ Eden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Onaylayan (Genel Müdür)</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 · YÖNETMELİK</w:t>
          </w:r>
          <w:r>
            <w:rPr>
              <w:rFonts w:ascii="Calibri" w:cs="Calibri" w:eastAsia="Calibri" w:hAnsi="Calibri"/>
              <w:color w:val="8C9BB0"/>
              <w:sz w:val="16"/>
              <w:szCs w:val="16"/>
            </w:rPr>
            <w:t xml:space="preserve">  ·  Doküman No: [İK-Y-01] · Yürürlük: [Tarih] · Revizyon: [00]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Disiplin Yönetmeliği</dc:title>
  <dc:creator>İK Partner</dc:creator>
  <dc:description>Disiplin Yönetmeliği — İK Partner (ikpartner.com) ücretsiz İK şablonu</dc:description>
  <cp:lastModifiedBy>Un-named</cp:lastModifiedBy>
  <cp:revision>1</cp:revision>
  <dcterms:created xsi:type="dcterms:W3CDTF">2026-10-12T11:08:07.153Z</dcterms:created>
  <dcterms:modified xsi:type="dcterms:W3CDTF">2026-10-12T11:08:07.153Z</dcterms:modified>
</cp:coreProperties>
</file>

<file path=docProps/custom.xml><?xml version="1.0" encoding="utf-8"?>
<Properties xmlns="http://schemas.openxmlformats.org/officeDocument/2006/custom-properties" xmlns:vt="http://schemas.openxmlformats.org/officeDocument/2006/docPropsVTypes"/>
</file>