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Çalışan Gizlilik Sözleşmesi</w:t>
      </w:r>
    </w:p>
    <w:p>
      <w:pPr>
        <w:pBdr>
          <w:bottom w:val="single" w:color="13B8A7" w:sz="12" w:space="8"/>
        </w:pBdr>
        <w:spacing w:after="220"/>
      </w:pPr>
      <w:r>
        <w:rPr>
          <w:rFonts w:ascii="Calibri" w:cs="Calibri" w:eastAsia="Calibri" w:hAnsi="Calibri"/>
          <w:color w:val="5A6B82"/>
          <w:sz w:val="21"/>
          <w:szCs w:val="21"/>
        </w:rPr>
        <w:t xml:space="preserve">İş sözleşmesinin eki olarak gizli bilginin korunması, iade ve imha yükümlülükleri (NDA).</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Taraflar ve Amaç</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Şirket</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Şirket Adresi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[Adres]</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[T.C. Kimlik No]</w:t>
            </w: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Departman</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[Unvan / Departman]</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 Sözleşmesi Tarihi</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bl>
    <w:p>
      <w:pPr>
        <w:spacing w:after="120" w:before="0"/>
      </w:pPr>
    </w:p>
    <w:p>
      <w:pPr>
        <w:spacing w:after="120" w:before="0" w:line="300"/>
        <w:jc w:val="both"/>
      </w:pPr>
      <w:r>
        <w:rPr>
          <w:rFonts w:ascii="Calibri" w:cs="Calibri" w:eastAsia="Calibri" w:hAnsi="Calibri"/>
          <w:color w:val="3A4A61"/>
          <w:sz w:val="21"/>
          <w:szCs w:val="21"/>
        </w:rPr>
        <w:t xml:space="preserve">1.1. İşbu sözleşme, </w:t>
      </w: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("Şirket") ile yukarıda bilgileri yazılı çalışan ("Çalışan") arasında, taraflar arasındaki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iş sözleşmesinin eki olarak düzenlenmiştir.</w:t>
      </w:r>
    </w:p>
    <w:p>
      <w:pPr>
        <w:spacing w:after="120" w:before="0" w:line="300"/>
        <w:jc w:val="both"/>
      </w:pPr>
      <w:r>
        <w:rPr>
          <w:rFonts w:ascii="Calibri" w:cs="Calibri" w:eastAsia="Calibri" w:hAnsi="Calibri"/>
          <w:color w:val="3A4A61"/>
          <w:sz w:val="21"/>
          <w:szCs w:val="21"/>
        </w:rPr>
        <w:t xml:space="preserve">1.2. Sözleşmenin amacı, Çalışan'ın görevi nedeniyle eriştiği gizli bilgilerin korunmasına ilişkin yükümlülükleri açıkça belirlemektir. Bu sözleşme, Çalışan'ın 6098 sayılı Türk Borçlar Kanunu'ndan doğan sadakat borcunu ortadan kaldırmaz; onu somutlaştırır.</w:t>
      </w: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Gizli Bilgi</w:t>
      </w:r>
    </w:p>
    <w:p>
      <w:pPr>
        <w:spacing w:after="120" w:before="0" w:line="300"/>
        <w:jc w:val="both"/>
      </w:pPr>
      <w:r>
        <w:rPr>
          <w:rFonts w:ascii="Calibri" w:cs="Calibri" w:eastAsia="Calibri" w:hAnsi="Calibri"/>
          <w:color w:val="3A4A61"/>
          <w:sz w:val="21"/>
          <w:szCs w:val="21"/>
        </w:rPr>
        <w:t xml:space="preserve">2.1. Gizli bilgi; Çalışan'ın görevi nedeniyle yazılı, sözlü, elektronik veya başka herhangi bir yolla öğrendiği ve kamuya açık olmayan, aşağıdaki kategorilerdeki bilgileri ifade eder:</w:t>
      </w:r>
    </w:p>
    <w:p>
      <w:pPr>
        <w:pStyle w:val="ListParagraph"/>
        <w:numPr>
          <w:ilvl w:val="0"/>
          <w:numId w:val="2"/>
        </w:numPr>
        <w:spacing w:after="80" w:line="290"/>
      </w:pPr>
      <w:r>
        <w:rPr>
          <w:rFonts w:ascii="Calibri" w:cs="Calibri" w:eastAsia="Calibri" w:hAnsi="Calibri"/>
          <w:color w:val="3A4A61"/>
          <w:sz w:val="21"/>
          <w:szCs w:val="21"/>
        </w:rPr>
        <w:t xml:space="preserve">Müşteri ve tedarikçi bilgileri, iletişim listeleri, sözleşme ve teklif içerikleri</w:t>
      </w:r>
    </w:p>
    <w:p>
      <w:pPr>
        <w:pStyle w:val="ListParagraph"/>
        <w:numPr>
          <w:ilvl w:val="0"/>
          <w:numId w:val="2"/>
        </w:numPr>
        <w:spacing w:after="80" w:line="290"/>
      </w:pPr>
      <w:r>
        <w:rPr>
          <w:rFonts w:ascii="Calibri" w:cs="Calibri" w:eastAsia="Calibri" w:hAnsi="Calibri"/>
          <w:color w:val="3A4A61"/>
          <w:sz w:val="21"/>
          <w:szCs w:val="21"/>
        </w:rPr>
        <w:t xml:space="preserve">Fiyatlandırma, maliyet ve kârlılık yapıları, bütçe ve finansal veriler</w:t>
      </w:r>
    </w:p>
    <w:p>
      <w:pPr>
        <w:pStyle w:val="ListParagraph"/>
        <w:numPr>
          <w:ilvl w:val="0"/>
          <w:numId w:val="2"/>
        </w:numPr>
        <w:spacing w:after="80" w:line="290"/>
      </w:pPr>
      <w:r>
        <w:rPr>
          <w:rFonts w:ascii="Calibri" w:cs="Calibri" w:eastAsia="Calibri" w:hAnsi="Calibri"/>
          <w:color w:val="3A4A61"/>
          <w:sz w:val="21"/>
          <w:szCs w:val="21"/>
        </w:rPr>
        <w:t xml:space="preserve">Ticari stratejiler, iş planları, henüz duyurulmamış projeler ve ürünler</w:t>
      </w:r>
    </w:p>
    <w:p>
      <w:pPr>
        <w:pStyle w:val="ListParagraph"/>
        <w:numPr>
          <w:ilvl w:val="0"/>
          <w:numId w:val="2"/>
        </w:numPr>
        <w:spacing w:after="80" w:line="290"/>
      </w:pPr>
      <w:r>
        <w:rPr>
          <w:rFonts w:ascii="Calibri" w:cs="Calibri" w:eastAsia="Calibri" w:hAnsi="Calibri"/>
          <w:color w:val="3A4A61"/>
          <w:sz w:val="21"/>
          <w:szCs w:val="21"/>
        </w:rPr>
        <w:t xml:space="preserve">Yazılım kaynak kodları, tasarımlar, teknik dokümanlar, formüller ve süreçler</w:t>
      </w:r>
    </w:p>
    <w:p>
      <w:pPr>
        <w:pStyle w:val="ListParagraph"/>
        <w:numPr>
          <w:ilvl w:val="0"/>
          <w:numId w:val="2"/>
        </w:numPr>
        <w:spacing w:after="80" w:line="290"/>
      </w:pPr>
      <w:r>
        <w:rPr>
          <w:rFonts w:ascii="Calibri" w:cs="Calibri" w:eastAsia="Calibri" w:hAnsi="Calibri"/>
          <w:color w:val="3A4A61"/>
          <w:sz w:val="21"/>
          <w:szCs w:val="21"/>
        </w:rPr>
        <w:t xml:space="preserve">Çalışanlara, müşterilere ve iş ortaklarına ait kişisel veriler</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[Şirkete özgü diğer kategoriler]</w:t>
      </w:r>
    </w:p>
    <w:p>
      <w:pPr>
        <w:spacing w:after="120" w:before="0" w:line="300"/>
        <w:jc w:val="both"/>
      </w:pPr>
      <w:r>
        <w:rPr>
          <w:rFonts w:ascii="Calibri" w:cs="Calibri" w:eastAsia="Calibri" w:hAnsi="Calibri"/>
          <w:color w:val="3A4A61"/>
          <w:sz w:val="21"/>
          <w:szCs w:val="21"/>
        </w:rPr>
        <w:t xml:space="preserve">2.2. Çalışan'ın genel mesleki bilgi, beceri ve tecrübesi gizli bilgi kapsamında değildir.</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İstisnalar</w:t>
      </w:r>
    </w:p>
    <w:p>
      <w:pPr>
        <w:spacing w:after="120" w:before="0" w:line="300"/>
        <w:jc w:val="both"/>
      </w:pPr>
      <w:r>
        <w:rPr>
          <w:rFonts w:ascii="Calibri" w:cs="Calibri" w:eastAsia="Calibri" w:hAnsi="Calibri"/>
          <w:color w:val="3A4A61"/>
          <w:sz w:val="21"/>
          <w:szCs w:val="21"/>
        </w:rPr>
        <w:t xml:space="preserve">3.1. Çalışan'ın aykırılığı dışında kamuya açık hale gelmiş bilgiler, Çalışan'ın işe başlamadan önce yasal yollarla bildiğini belgeleyebildiği bilgiler ve yasal zorunluluk veya yetkili makam kararı ile açıklanması gereken bilgiler bu sözleşme kapsamında değildir.</w:t>
      </w:r>
    </w:p>
    <w:p>
      <w:pPr>
        <w:spacing w:after="120" w:before="0" w:line="300"/>
        <w:jc w:val="both"/>
      </w:pPr>
      <w:r>
        <w:rPr>
          <w:rFonts w:ascii="Calibri" w:cs="Calibri" w:eastAsia="Calibri" w:hAnsi="Calibri"/>
          <w:color w:val="3A4A61"/>
          <w:sz w:val="21"/>
          <w:szCs w:val="21"/>
        </w:rPr>
        <w:t xml:space="preserve">3.2. Yasal zorunlulukla açıklama gerekmesi halinde Çalışan, mümkün olduğu ölçüde Şirket'i önceden bilgilendirir ve yalnızca zorunlu olan kısmı açıklar.</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Çalışan'ın Yükümlülükleri</w:t>
      </w:r>
    </w:p>
    <w:p>
      <w:pPr>
        <w:spacing w:after="120" w:before="0" w:line="300"/>
        <w:jc w:val="both"/>
      </w:pPr>
      <w:r>
        <w:rPr>
          <w:rFonts w:ascii="Calibri" w:cs="Calibri" w:eastAsia="Calibri" w:hAnsi="Calibri"/>
          <w:color w:val="3A4A61"/>
          <w:sz w:val="21"/>
          <w:szCs w:val="21"/>
        </w:rPr>
        <w:t xml:space="preserve">4.1. Çalışan:</w:t>
      </w:r>
    </w:p>
    <w:p>
      <w:pPr>
        <w:pStyle w:val="ListParagraph"/>
        <w:numPr>
          <w:ilvl w:val="0"/>
          <w:numId w:val="2"/>
        </w:numPr>
        <w:spacing w:after="80" w:line="290"/>
      </w:pPr>
      <w:r>
        <w:rPr>
          <w:rFonts w:ascii="Calibri" w:cs="Calibri" w:eastAsia="Calibri" w:hAnsi="Calibri"/>
          <w:color w:val="3A4A61"/>
          <w:sz w:val="21"/>
          <w:szCs w:val="21"/>
        </w:rPr>
        <w:t xml:space="preserve">Gizli bilgiyi yalnızca görevinin gerektirdiği ölçüde ve Şirket'in işleri için kullanır,</w:t>
      </w:r>
    </w:p>
    <w:p>
      <w:pPr>
        <w:pStyle w:val="ListParagraph"/>
        <w:numPr>
          <w:ilvl w:val="0"/>
          <w:numId w:val="2"/>
        </w:numPr>
        <w:spacing w:after="80" w:line="290"/>
      </w:pPr>
      <w:r>
        <w:rPr>
          <w:rFonts w:ascii="Calibri" w:cs="Calibri" w:eastAsia="Calibri" w:hAnsi="Calibri"/>
          <w:color w:val="3A4A61"/>
          <w:sz w:val="21"/>
          <w:szCs w:val="21"/>
        </w:rPr>
        <w:t xml:space="preserve">Gizli bilgiyi yetkisiz kişilerle, aile bireyleriyle veya sosyal medyada paylaşmaz,</w:t>
      </w:r>
    </w:p>
    <w:p>
      <w:pPr>
        <w:pStyle w:val="ListParagraph"/>
        <w:numPr>
          <w:ilvl w:val="0"/>
          <w:numId w:val="2"/>
        </w:numPr>
        <w:spacing w:after="80" w:line="290"/>
      </w:pPr>
      <w:r>
        <w:rPr>
          <w:rFonts w:ascii="Calibri" w:cs="Calibri" w:eastAsia="Calibri" w:hAnsi="Calibri"/>
          <w:color w:val="3A4A61"/>
          <w:sz w:val="21"/>
          <w:szCs w:val="21"/>
        </w:rPr>
        <w:t xml:space="preserve">Şirket onayı olmadan gizli bilgiyi kişisel e-posta, bulut depolama, taşınabilir bellek veya kişisel cihazlara aktarmaz,</w:t>
      </w:r>
    </w:p>
    <w:p>
      <w:pPr>
        <w:pStyle w:val="ListParagraph"/>
        <w:numPr>
          <w:ilvl w:val="0"/>
          <w:numId w:val="2"/>
        </w:numPr>
        <w:spacing w:after="80" w:line="290"/>
      </w:pPr>
      <w:r>
        <w:rPr>
          <w:rFonts w:ascii="Calibri" w:cs="Calibri" w:eastAsia="Calibri" w:hAnsi="Calibri"/>
          <w:color w:val="3A4A61"/>
          <w:sz w:val="21"/>
          <w:szCs w:val="21"/>
        </w:rPr>
        <w:t xml:space="preserve">Şirket'in bilgi güvenliği politikalarına, erişim yetkilerine ve parola kurallarına uyar,</w:t>
      </w:r>
    </w:p>
    <w:p>
      <w:pPr>
        <w:pStyle w:val="ListParagraph"/>
        <w:numPr>
          <w:ilvl w:val="0"/>
          <w:numId w:val="2"/>
        </w:numPr>
        <w:spacing w:after="80" w:line="290"/>
      </w:pPr>
      <w:r>
        <w:rPr>
          <w:rFonts w:ascii="Calibri" w:cs="Calibri" w:eastAsia="Calibri" w:hAnsi="Calibri"/>
          <w:color w:val="3A4A61"/>
          <w:sz w:val="21"/>
          <w:szCs w:val="21"/>
        </w:rPr>
        <w:t xml:space="preserve">Gizli bilginin yetkisiz kişilerin eline geçtiğini öğrendiğinde bunu derhal </w:t>
      </w:r>
      <w:r>
        <w:rPr>
          <w:rFonts w:ascii="Calibri" w:cs="Calibri" w:eastAsia="Calibri" w:hAnsi="Calibri"/>
          <w:color w:val="1D5888"/>
          <w:sz w:val="21"/>
          <w:szCs w:val="21"/>
          <w:shd w:fill="EAF1F8" w:color="auto" w:val="clear"/>
        </w:rPr>
        <w:t xml:space="preserve">[Birim / Yetkili]</w:t>
      </w:r>
      <w:r>
        <w:rPr>
          <w:rFonts w:ascii="Calibri" w:cs="Calibri" w:eastAsia="Calibri" w:hAnsi="Calibri"/>
          <w:color w:val="3A4A61"/>
          <w:sz w:val="21"/>
          <w:szCs w:val="21"/>
        </w:rPr>
        <w:t xml:space="preserve">'ye bildirir.</w:t>
      </w: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İade ve İmha</w:t>
      </w:r>
    </w:p>
    <w:p>
      <w:pPr>
        <w:spacing w:after="120" w:before="0" w:line="300"/>
        <w:jc w:val="both"/>
      </w:pPr>
      <w:r>
        <w:rPr>
          <w:rFonts w:ascii="Calibri" w:cs="Calibri" w:eastAsia="Calibri" w:hAnsi="Calibri"/>
          <w:color w:val="3A4A61"/>
          <w:sz w:val="21"/>
          <w:szCs w:val="21"/>
        </w:rPr>
        <w:t xml:space="preserve">5.1. İş ilişkisinin herhangi bir nedenle sona ermesi veya Şirket'in talebi halinde Çalışan, gizli bilgi içeren tüm belge, dosya, cihaz ve kopyaları Şirket'e iade eder veya Şirket'in talimatına göre imha eder.</w:t>
      </w:r>
    </w:p>
    <w:p>
      <w:pPr>
        <w:spacing w:after="120" w:before="0" w:line="300"/>
        <w:jc w:val="both"/>
      </w:pPr>
      <w:r>
        <w:rPr>
          <w:rFonts w:ascii="Calibri" w:cs="Calibri" w:eastAsia="Calibri" w:hAnsi="Calibri"/>
          <w:color w:val="3A4A61"/>
          <w:sz w:val="21"/>
          <w:szCs w:val="21"/>
        </w:rPr>
        <w:t xml:space="preserve">5.2. Çalışan, iade ve imha işlemini ekteki </w:t>
      </w:r>
      <w:r>
        <w:rPr>
          <w:rFonts w:ascii="Calibri" w:cs="Calibri" w:eastAsia="Calibri" w:hAnsi="Calibri"/>
          <w:b/>
          <w:bCs/>
          <w:color w:val="3A4A61"/>
          <w:sz w:val="21"/>
          <w:szCs w:val="21"/>
        </w:rPr>
        <w:t xml:space="preserve">İade ve İmha Teyit Formu</w:t>
      </w:r>
      <w:r>
        <w:rPr>
          <w:rFonts w:ascii="Calibri" w:cs="Calibri" w:eastAsia="Calibri" w:hAnsi="Calibri"/>
          <w:color w:val="3A4A61"/>
          <w:sz w:val="21"/>
          <w:szCs w:val="21"/>
        </w:rPr>
        <w:t xml:space="preserve"> ile yazılı olarak teyit eder. Bu işlem ilişik kesme sürecinin bir parçasıdır.</w:t>
      </w: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Süre</w:t>
      </w:r>
    </w:p>
    <w:p>
      <w:pPr>
        <w:spacing w:after="120" w:before="0" w:line="300"/>
        <w:jc w:val="both"/>
      </w:pPr>
      <w:r>
        <w:rPr>
          <w:rFonts w:ascii="Calibri" w:cs="Calibri" w:eastAsia="Calibri" w:hAnsi="Calibri"/>
          <w:color w:val="3A4A61"/>
          <w:sz w:val="21"/>
          <w:szCs w:val="21"/>
        </w:rPr>
        <w:t xml:space="preserve">6.1. Bu sözleşmedeki yükümlülükler iş ilişkisi süresince ve sona ermesinden sonra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boyunca; ticari sır niteliğindeki bilgiler bakımından ise bu bilgiler gizli kaldığı sürece devam eder.</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Kişisel Verilerin Korunması</w:t>
      </w:r>
    </w:p>
    <w:p>
      <w:pPr>
        <w:spacing w:after="120" w:before="0" w:line="300"/>
        <w:jc w:val="both"/>
      </w:pPr>
      <w:r>
        <w:rPr>
          <w:rFonts w:ascii="Calibri" w:cs="Calibri" w:eastAsia="Calibri" w:hAnsi="Calibri"/>
          <w:color w:val="3A4A61"/>
          <w:sz w:val="21"/>
          <w:szCs w:val="21"/>
        </w:rPr>
        <w:t xml:space="preserve">7.1. Çalışan, görevi nedeniyle eriştiği müşteri, tedarikçi, çalışan ve diğer kişilere ait kişisel verileri yalnızca yetkisi dahilinde, 6698 sayılı Kişisel Verilerin Korunması Kanunu'na ve Şirket politikalarına uygun olarak işler.</w:t>
      </w:r>
    </w:p>
    <w:p>
      <w:pPr>
        <w:spacing w:after="120" w:before="0" w:line="300"/>
        <w:jc w:val="both"/>
      </w:pPr>
      <w:r>
        <w:rPr>
          <w:rFonts w:ascii="Calibri" w:cs="Calibri" w:eastAsia="Calibri" w:hAnsi="Calibri"/>
          <w:color w:val="3A4A61"/>
          <w:sz w:val="21"/>
          <w:szCs w:val="21"/>
        </w:rPr>
        <w:t xml:space="preserve">7.2. Çalışan'ın kendi kişisel verilerinin işlenmesine ilişkin bilgilendirme bu sözleşmeyle değil, kendisine ayrıca verilen çalışan aydınlatma metniyle yapılır.</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Aykırılığın Sonuçları</w:t>
      </w:r>
    </w:p>
    <w:p>
      <w:pPr>
        <w:spacing w:after="120" w:before="0" w:line="300"/>
        <w:jc w:val="both"/>
      </w:pPr>
      <w:r>
        <w:rPr>
          <w:rFonts w:ascii="Calibri" w:cs="Calibri" w:eastAsia="Calibri" w:hAnsi="Calibri"/>
          <w:color w:val="3A4A61"/>
          <w:sz w:val="21"/>
          <w:szCs w:val="21"/>
        </w:rPr>
        <w:t xml:space="preserve">8.1. Çalışan'ın bu sözleşmeye aykırı davranışı halinde Şirket'in uğradığı zararın tazminini talep etme hakkı saklıdır. Aykırılık, iş sözleşmesi, işyeri disiplin yönetmeliği ve İş Kanunu hükümleri çerçevesinde ayrıca değerlendirilebilir.</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Yetki ve Diğer Hükümler</w:t>
      </w:r>
    </w:p>
    <w:p>
      <w:pPr>
        <w:spacing w:after="120" w:before="0" w:line="300"/>
        <w:jc w:val="both"/>
      </w:pPr>
      <w:r>
        <w:rPr>
          <w:rFonts w:ascii="Calibri" w:cs="Calibri" w:eastAsia="Calibri" w:hAnsi="Calibri"/>
          <w:color w:val="3A4A61"/>
          <w:sz w:val="21"/>
          <w:szCs w:val="21"/>
        </w:rPr>
        <w:t xml:space="preserve">9.1. Bu sözleşmeden doğan uyuşmazlıklarda </w:t>
      </w:r>
      <w:r>
        <w:rPr>
          <w:rFonts w:ascii="Calibri" w:cs="Calibri" w:eastAsia="Calibri" w:hAnsi="Calibri"/>
          <w:color w:val="1D5888"/>
          <w:sz w:val="21"/>
          <w:szCs w:val="21"/>
          <w:shd w:fill="EAF1F8" w:color="auto" w:val="clear"/>
        </w:rPr>
        <w:t xml:space="preserve">[Yer]</w:t>
      </w:r>
      <w:r>
        <w:rPr>
          <w:rFonts w:ascii="Calibri" w:cs="Calibri" w:eastAsia="Calibri" w:hAnsi="Calibri"/>
          <w:color w:val="3A4A61"/>
          <w:sz w:val="21"/>
          <w:szCs w:val="21"/>
        </w:rPr>
        <w:t xml:space="preserve"> mahkemeleri ve icra daireleri yetkilidir; iş uyuşmazlıklarında zorunlu arabuluculuk hükümleri saklıdır.</w:t>
      </w:r>
    </w:p>
    <w:p>
      <w:pPr>
        <w:spacing w:after="120" w:before="0" w:line="300"/>
        <w:jc w:val="both"/>
      </w:pPr>
      <w:r>
        <w:rPr>
          <w:rFonts w:ascii="Calibri" w:cs="Calibri" w:eastAsia="Calibri" w:hAnsi="Calibri"/>
          <w:color w:val="3A4A61"/>
          <w:sz w:val="21"/>
          <w:szCs w:val="21"/>
        </w:rPr>
        <w:t xml:space="preserve">9.2. Sözleşmede yapılacak değişiklikler yazılı olarak yapılır. İşbu sözleşme 9 (dokuz) maddeden ibaret olup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iki nüsha olarak düzenlenmiş, bir nüshası Çalışan'a teslim edilmiştir.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 Yetkili (Kaşe)</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center"/>
      </w:pPr>
      <w:r>
        <w:rPr>
          <w:rFonts w:ascii="Calibri" w:cs="Calibri" w:eastAsia="Calibri" w:hAnsi="Calibri"/>
          <w:b/>
          <w:bCs/>
          <w:color w:val="3A4A61"/>
          <w:sz w:val="21"/>
          <w:szCs w:val="21"/>
        </w:rPr>
        <w:t xml:space="preserve">EK: İADE VE İMHA TEYİT FORMU</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 Ad Soyad</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Ayrılış / Talep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Alan Yetkili</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130"/>
        <w:gridCol w:w="1376"/>
        <w:gridCol w:w="1376"/>
        <w:gridCol w:w="2756"/>
      </w:tblGrid>
      <w:tr>
        <w:trPr>
          <w:cantSplit/>
          <w:trHeight w:val="400" w:hRule="atLeast"/>
        </w:trPr>
        <w:tc>
          <w:tcPr>
            <w:tcW w:type="dxa" w:w="41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 / Dosya / Cihaz</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İade Edildi</w:t>
            </w:r>
          </w:p>
        </w:tc>
        <w:tc>
          <w:tcPr>
            <w:tcW w:type="dxa" w:w="137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İmha Edildi</w:t>
            </w:r>
          </w:p>
        </w:tc>
        <w:tc>
          <w:tcPr>
            <w:tcW w:type="dxa" w:w="27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41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Basılı belgeler ve dosyalar</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756"/>
            <w:tcMar>
              <w:top w:type="dxa" w:w="60"/>
              <w:left w:type="dxa" w:w="110"/>
              <w:bottom w:type="dxa" w:w="60"/>
              <w:right w:type="dxa" w:w="110"/>
            </w:tcMar>
            <w:vAlign w:val="center"/>
          </w:tcPr>
          <w:p>
            <w:pPr>
              <w:spacing w:before="40" w:after="40"/>
            </w:pPr>
          </w:p>
        </w:tc>
      </w:tr>
      <w:tr>
        <w:trPr>
          <w:cantSplit/>
          <w:trHeight w:val="380" w:hRule="atLeast"/>
        </w:trPr>
        <w:tc>
          <w:tcPr>
            <w:tcW w:type="dxa" w:w="41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Dizüstü bilgisayar / taşınabilir bellek</w:t>
            </w:r>
          </w:p>
        </w:tc>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75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13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Kişisel cihazlardaki şirket verileri</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756"/>
            <w:tcMar>
              <w:top w:type="dxa" w:w="60"/>
              <w:left w:type="dxa" w:w="110"/>
              <w:bottom w:type="dxa" w:w="60"/>
              <w:right w:type="dxa" w:w="110"/>
            </w:tcMar>
            <w:vAlign w:val="center"/>
          </w:tcPr>
          <w:p>
            <w:pPr>
              <w:spacing w:before="40" w:after="40"/>
            </w:pPr>
          </w:p>
        </w:tc>
      </w:tr>
      <w:tr>
        <w:trPr>
          <w:cantSplit/>
          <w:trHeight w:val="380" w:hRule="atLeast"/>
        </w:trPr>
        <w:tc>
          <w:tcPr>
            <w:tcW w:type="dxa" w:w="413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Kişisel e-posta / bulut hesaplarındaki kopyalar</w:t>
            </w:r>
          </w:p>
        </w:tc>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75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13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[Diğer]</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137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756"/>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Şirket'e ait gizli bilgi içeren tüm belge, dosya ve kopyaları iade ettiğimi veya Şirket'in talimatına uygun olarak imha ettiğimi, elimde herhangi bir kopya kalmadığını ve gizlilik yükümlülüğümün sözleşmede belirtilen süre boyunca devam ettiğini bildiğimi beyan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Kullanım Notu</w:t>
            </w:r>
          </w:p>
          <w:p>
            <w:pPr>
              <w:spacing w:after="20" w:line="280"/>
            </w:pPr>
            <w:r>
              <w:rPr>
                <w:rFonts w:ascii="Calibri" w:cs="Calibri" w:eastAsia="Calibri" w:hAnsi="Calibri"/>
                <w:color w:val="3A4A61"/>
                <w:sz w:val="19"/>
                <w:szCs w:val="19"/>
              </w:rPr>
              <w:t xml:space="preserve">Gizli bilgi tanımını şirketinizin gerçekten korumak istediği kategorilerle sınırlayın; "her türlü bilgi" gibi sınırsız ifadeler kullanmayın. Cezai şart eklenecekse yalnızca işçi aleyhine olmayacak şekilde, dengeli ve makul tutarda ve hukuk danışmanı görüşüyle düzenlenmelidir. Rekabet yasağı ayrı şekil ve sınırlama şartlarına tabidir; bu metne eklenecekse ayrıca düzenlenmelidir. Bilgi güvenliği politikalarını çalışana tebliğ edin ve nihai metni hukuk danışmanınıza kontrol ettirin.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GİZLİLİK SÖZLEŞMESİ</w:t>
          </w:r>
          <w:r>
            <w:rPr>
              <w:rFonts w:ascii="Calibri" w:cs="Calibri" w:eastAsia="Calibri" w:hAnsi="Calibri"/>
              <w:color w:val="8C9BB0"/>
              <w:sz w:val="16"/>
              <w:szCs w:val="16"/>
            </w:rPr>
            <w:t xml:space="preserve">  ·  Sözleşme No: [İK-S-05]</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Çalışan Gizlilik Sözleşmesi</dc:title>
  <dc:creator>İK Partner</dc:creator>
  <dc:description>Çalışan Gizlilik Sözleşmesi — İK Partner (ikpartner.com) ücretsiz İK şablonu</dc:description>
  <cp:lastModifiedBy>Un-named</cp:lastModifiedBy>
  <cp:revision>1</cp:revision>
  <dcterms:created xsi:type="dcterms:W3CDTF">2026-10-12T11:08:06.480Z</dcterms:created>
  <dcterms:modified xsi:type="dcterms:W3CDTF">2026-10-12T11:08:06.480Z</dcterms:modified>
</cp:coreProperties>
</file>

<file path=docProps/custom.xml><?xml version="1.0" encoding="utf-8"?>
<Properties xmlns="http://schemas.openxmlformats.org/officeDocument/2006/custom-properties" xmlns:vt="http://schemas.openxmlformats.org/officeDocument/2006/docPropsVTypes"/>
</file>