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Bilgi Güvenliği Politikası</w:t>
      </w:r>
    </w:p>
    <w:p>
      <w:pPr>
        <w:pBdr>
          <w:bottom w:val="single" w:color="13B8A7" w:sz="12" w:space="8"/>
        </w:pBdr>
        <w:spacing w:after="220"/>
      </w:pPr>
      <w:r>
        <w:rPr>
          <w:rFonts w:ascii="Calibri" w:cs="Calibri" w:eastAsia="Calibri" w:hAnsi="Calibri"/>
          <w:color w:val="5A6B82"/>
          <w:sz w:val="21"/>
          <w:szCs w:val="21"/>
        </w:rPr>
        <w:t xml:space="preserve">[Şirket Unvanı] · Yürürlük tarihi: [Tarih] · Sürüm: [Sürüm No] · Politika sahibi: [Birim / Unvan]</w:t>
      </w:r>
    </w:p>
    <w:p>
      <w:pPr>
        <w:keepNext/>
        <w:pBdr>
          <w:bottom w:val="single" w:color="DCE4EE" w:sz="6" w:space="4"/>
        </w:pBdr>
        <w:spacing w:before="280" w:after="120"/>
      </w:pPr>
      <w:r>
        <w:rPr>
          <w:rFonts w:ascii="Calibri" w:cs="Calibri" w:eastAsia="Calibri" w:hAnsi="Calibri"/>
          <w:b/>
          <w:bCs/>
          <w:color w:val="13B8A7"/>
          <w:sz w:val="25"/>
          <w:szCs w:val="25"/>
        </w:rPr>
        <w:t xml:space="preserve">1. </w:t>
      </w:r>
      <w:r>
        <w:rPr>
          <w:rFonts w:ascii="Calibri" w:cs="Calibri" w:eastAsia="Calibri" w:hAnsi="Calibri"/>
          <w:b/>
          <w:bCs/>
          <w:color w:val="0E2849"/>
          <w:sz w:val="25"/>
          <w:szCs w:val="25"/>
        </w:rPr>
        <w:t xml:space="preserve">Amaç</w:t>
      </w:r>
    </w:p>
    <w:p>
      <w:pPr>
        <w:spacing w:after="120" w:before="0" w:line="300"/>
        <w:jc w:val="both"/>
      </w:pPr>
      <w:r>
        <w:rPr>
          <w:rFonts w:ascii="Calibri" w:cs="Calibri" w:eastAsia="Calibri" w:hAnsi="Calibri"/>
          <w:color w:val="3A4A61"/>
          <w:sz w:val="21"/>
          <w:szCs w:val="21"/>
        </w:rPr>
        <w:t xml:space="preserve">Bu politikanın amacı; </w:t>
      </w: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("Şirket") bünyesinde işlenen her türlü bilginin ve kişisel verinin gizliliğini, bütünlüğünü ve erişilebilirliğini korumak, bilgi varlıklarına yönelik riskleri yönetmek ve 6698 sayılı Kişisel Verilerin Korunması Kanunu başta olmak üzere ilgili mevzuata uyumu sağlamaktır.</w:t>
      </w:r>
    </w:p>
    <w:p>
      <w:pPr>
        <w:keepNext/>
        <w:pBdr>
          <w:bottom w:val="single" w:color="DCE4EE" w:sz="6" w:space="4"/>
        </w:pBdr>
        <w:spacing w:before="280" w:after="120"/>
      </w:pPr>
      <w:r>
        <w:rPr>
          <w:rFonts w:ascii="Calibri" w:cs="Calibri" w:eastAsia="Calibri" w:hAnsi="Calibri"/>
          <w:b/>
          <w:bCs/>
          <w:color w:val="13B8A7"/>
          <w:sz w:val="25"/>
          <w:szCs w:val="25"/>
        </w:rPr>
        <w:t xml:space="preserve">2. </w:t>
      </w:r>
      <w:r>
        <w:rPr>
          <w:rFonts w:ascii="Calibri" w:cs="Calibri" w:eastAsia="Calibri" w:hAnsi="Calibri"/>
          <w:b/>
          <w:bCs/>
          <w:color w:val="0E2849"/>
          <w:sz w:val="25"/>
          <w:szCs w:val="25"/>
        </w:rPr>
        <w:t xml:space="preserve">Kapsam</w:t>
      </w:r>
    </w:p>
    <w:p>
      <w:pPr>
        <w:spacing w:after="120" w:before="0" w:line="300"/>
        <w:jc w:val="both"/>
      </w:pPr>
      <w:r>
        <w:rPr>
          <w:rFonts w:ascii="Calibri" w:cs="Calibri" w:eastAsia="Calibri" w:hAnsi="Calibri"/>
          <w:color w:val="3A4A61"/>
          <w:sz w:val="21"/>
          <w:szCs w:val="21"/>
        </w:rPr>
        <w:t xml:space="preserve">Politika; Şirketin tüm çalışanlarını, stajyerlerini, geçici ve uzaktan çalışanlarını, Şirket adına iş yapan danışman, tedarikçi ve alt işveren çalışanlarını; Şirkete ait veya Şirket bilgilerinin işlendiği tüm bilgisayar, mobil cihaz, sunucu, bulut hizmeti, ağ, yazılım ve basılı belgeleri kapsar.</w:t>
      </w:r>
    </w:p>
    <w:p>
      <w:pPr>
        <w:keepNext/>
        <w:pBdr>
          <w:bottom w:val="single" w:color="DCE4EE" w:sz="6" w:space="4"/>
        </w:pBdr>
        <w:spacing w:before="280" w:after="120"/>
      </w:pPr>
      <w:r>
        <w:rPr>
          <w:rFonts w:ascii="Calibri" w:cs="Calibri" w:eastAsia="Calibri" w:hAnsi="Calibri"/>
          <w:b/>
          <w:bCs/>
          <w:color w:val="13B8A7"/>
          <w:sz w:val="25"/>
          <w:szCs w:val="25"/>
        </w:rPr>
        <w:t xml:space="preserve">3. </w:t>
      </w:r>
      <w:r>
        <w:rPr>
          <w:rFonts w:ascii="Calibri" w:cs="Calibri" w:eastAsia="Calibri" w:hAnsi="Calibri"/>
          <w:b/>
          <w:bCs/>
          <w:color w:val="0E2849"/>
          <w:sz w:val="25"/>
          <w:szCs w:val="25"/>
        </w:rPr>
        <w:t xml:space="preserve">Tanımlar</w:t>
      </w:r>
    </w:p>
    <w:p>
      <w:pPr>
        <w:pStyle w:val="ListParagraph"/>
        <w:numPr>
          <w:ilvl w:val="0"/>
          <w:numId w:val="2"/>
        </w:numPr>
        <w:spacing w:after="80" w:line="290"/>
      </w:pPr>
      <w:r>
        <w:rPr>
          <w:rFonts w:ascii="Calibri" w:cs="Calibri" w:eastAsia="Calibri" w:hAnsi="Calibri"/>
          <w:b/>
          <w:bCs/>
          <w:color w:val="3A4A61"/>
          <w:sz w:val="21"/>
          <w:szCs w:val="21"/>
        </w:rPr>
        <w:t xml:space="preserve">Bilgi varlığı:</w:t>
      </w:r>
      <w:r>
        <w:rPr>
          <w:rFonts w:ascii="Calibri" w:cs="Calibri" w:eastAsia="Calibri" w:hAnsi="Calibri"/>
          <w:color w:val="3A4A61"/>
          <w:sz w:val="21"/>
          <w:szCs w:val="21"/>
        </w:rPr>
        <w:t xml:space="preserve"> Şirket için değeri olan her türlü bilgi ile bu bilginin işlendiği donanım, yazılım, belge ve hizmetler.</w:t>
      </w:r>
    </w:p>
    <w:p>
      <w:pPr>
        <w:pStyle w:val="ListParagraph"/>
        <w:numPr>
          <w:ilvl w:val="0"/>
          <w:numId w:val="2"/>
        </w:numPr>
        <w:spacing w:after="80" w:line="290"/>
      </w:pPr>
      <w:r>
        <w:rPr>
          <w:rFonts w:ascii="Calibri" w:cs="Calibri" w:eastAsia="Calibri" w:hAnsi="Calibri"/>
          <w:b/>
          <w:bCs/>
          <w:color w:val="3A4A61"/>
          <w:sz w:val="21"/>
          <w:szCs w:val="21"/>
        </w:rPr>
        <w:t xml:space="preserve">Gizlilik:</w:t>
      </w:r>
      <w:r>
        <w:rPr>
          <w:rFonts w:ascii="Calibri" w:cs="Calibri" w:eastAsia="Calibri" w:hAnsi="Calibri"/>
          <w:color w:val="3A4A61"/>
          <w:sz w:val="21"/>
          <w:szCs w:val="21"/>
        </w:rPr>
        <w:t xml:space="preserve"> Bilgiye yalnızca yetkili kişilerin erişebilmesi.</w:t>
      </w:r>
    </w:p>
    <w:p>
      <w:pPr>
        <w:pStyle w:val="ListParagraph"/>
        <w:numPr>
          <w:ilvl w:val="0"/>
          <w:numId w:val="2"/>
        </w:numPr>
        <w:spacing w:after="80" w:line="290"/>
      </w:pPr>
      <w:r>
        <w:rPr>
          <w:rFonts w:ascii="Calibri" w:cs="Calibri" w:eastAsia="Calibri" w:hAnsi="Calibri"/>
          <w:b/>
          <w:bCs/>
          <w:color w:val="3A4A61"/>
          <w:sz w:val="21"/>
          <w:szCs w:val="21"/>
        </w:rPr>
        <w:t xml:space="preserve">Bütünlük:</w:t>
      </w:r>
      <w:r>
        <w:rPr>
          <w:rFonts w:ascii="Calibri" w:cs="Calibri" w:eastAsia="Calibri" w:hAnsi="Calibri"/>
          <w:color w:val="3A4A61"/>
          <w:sz w:val="21"/>
          <w:szCs w:val="21"/>
        </w:rPr>
        <w:t xml:space="preserve"> Bilginin doğru, eksiksiz ve yetkisiz değişikliğe karşı korunmuş olması.</w:t>
      </w:r>
    </w:p>
    <w:p>
      <w:pPr>
        <w:pStyle w:val="ListParagraph"/>
        <w:numPr>
          <w:ilvl w:val="0"/>
          <w:numId w:val="2"/>
        </w:numPr>
        <w:spacing w:after="80" w:line="290"/>
      </w:pPr>
      <w:r>
        <w:rPr>
          <w:rFonts w:ascii="Calibri" w:cs="Calibri" w:eastAsia="Calibri" w:hAnsi="Calibri"/>
          <w:b/>
          <w:bCs/>
          <w:color w:val="3A4A61"/>
          <w:sz w:val="21"/>
          <w:szCs w:val="21"/>
        </w:rPr>
        <w:t xml:space="preserve">Erişilebilirlik:</w:t>
      </w:r>
      <w:r>
        <w:rPr>
          <w:rFonts w:ascii="Calibri" w:cs="Calibri" w:eastAsia="Calibri" w:hAnsi="Calibri"/>
          <w:color w:val="3A4A61"/>
          <w:sz w:val="21"/>
          <w:szCs w:val="21"/>
        </w:rPr>
        <w:t xml:space="preserve"> Yetkili kişilerin bilgiye ihtiyaç duyduklarında erişebilmesi.</w:t>
      </w:r>
    </w:p>
    <w:p>
      <w:pPr>
        <w:pStyle w:val="ListParagraph"/>
        <w:numPr>
          <w:ilvl w:val="0"/>
          <w:numId w:val="2"/>
        </w:numPr>
        <w:spacing w:after="80" w:line="290"/>
      </w:pPr>
      <w:r>
        <w:rPr>
          <w:rFonts w:ascii="Calibri" w:cs="Calibri" w:eastAsia="Calibri" w:hAnsi="Calibri"/>
          <w:b/>
          <w:bCs/>
          <w:color w:val="3A4A61"/>
          <w:sz w:val="21"/>
          <w:szCs w:val="21"/>
        </w:rPr>
        <w:t xml:space="preserve">Bilgi güvenliği olayı:</w:t>
      </w:r>
      <w:r>
        <w:rPr>
          <w:rFonts w:ascii="Calibri" w:cs="Calibri" w:eastAsia="Calibri" w:hAnsi="Calibri"/>
          <w:color w:val="3A4A61"/>
          <w:sz w:val="21"/>
          <w:szCs w:val="21"/>
        </w:rPr>
        <w:t xml:space="preserve"> Bilginin gizliliğini, bütünlüğünü veya erişilebilirliğini tehlikeye atan ya da atma ihtimali bulunan her türlü olay.</w:t>
      </w:r>
    </w:p>
    <w:p>
      <w:pPr>
        <w:keepNext/>
        <w:pBdr>
          <w:bottom w:val="single" w:color="DCE4EE" w:sz="6" w:space="4"/>
        </w:pBdr>
        <w:spacing w:before="280" w:after="120"/>
      </w:pPr>
      <w:r>
        <w:rPr>
          <w:rFonts w:ascii="Calibri" w:cs="Calibri" w:eastAsia="Calibri" w:hAnsi="Calibri"/>
          <w:b/>
          <w:bCs/>
          <w:color w:val="13B8A7"/>
          <w:sz w:val="25"/>
          <w:szCs w:val="25"/>
        </w:rPr>
        <w:t xml:space="preserve">4. </w:t>
      </w:r>
      <w:r>
        <w:rPr>
          <w:rFonts w:ascii="Calibri" w:cs="Calibri" w:eastAsia="Calibri" w:hAnsi="Calibri"/>
          <w:b/>
          <w:bCs/>
          <w:color w:val="0E2849"/>
          <w:sz w:val="25"/>
          <w:szCs w:val="25"/>
        </w:rPr>
        <w:t xml:space="preserve">Roller ve Sorumluluklar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628"/>
        <w:gridCol w:w="7010"/>
      </w:tblGrid>
      <w:tr>
        <w:trPr>
          <w:cantSplit/>
          <w:trHeight w:val="400" w:hRule="atLeast"/>
        </w:trPr>
        <w:tc>
          <w:tcPr>
            <w:tcW w:type="dxa" w:w="262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Rol</w:t>
            </w:r>
          </w:p>
        </w:tc>
        <w:tc>
          <w:tcPr>
            <w:tcW w:type="dxa" w:w="701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Sorumluluklar</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Üst yönetim</w:t>
            </w:r>
          </w:p>
        </w:tc>
        <w:tc>
          <w:tcPr>
            <w:tcW w:type="dxa" w:w="70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Politikayı onaylar, gerekli kaynakları sağlar, bilgi güvenliğinin önceliklendirilmesini destekler.</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Bilgi güvenliği sorumlusu / BT birimi</w:t>
            </w:r>
          </w:p>
        </w:tc>
        <w:tc>
          <w:tcPr>
            <w:tcW w:type="dxa" w:w="70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Teknik ve idari tedbirleri uygular, erişim yetkilerini yönetir, olayları kayıt altına alır ve raporlar.</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İnsan Kaynakları</w:t>
            </w:r>
          </w:p>
        </w:tc>
        <w:tc>
          <w:tcPr>
            <w:tcW w:type="dxa" w:w="70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giriş, görev değişikliği ve işten ayrılış süreçlerinde yetki ve cihaz süreçlerini BT ile koordine eder; eğitim ve taahhütnameleri yönetir.</w:t>
            </w:r>
          </w:p>
        </w:tc>
      </w:tr>
      <w:tr>
        <w:trPr>
          <w:cantSplit/>
          <w:trHeight w:val="380" w:hRule="atLeast"/>
        </w:trPr>
        <w:tc>
          <w:tcPr>
            <w:tcW w:type="dxa" w:w="262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Birim yöneticileri</w:t>
            </w:r>
          </w:p>
        </w:tc>
        <w:tc>
          <w:tcPr>
            <w:tcW w:type="dxa" w:w="701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Ekiplerinin politikaya uymasını sağlar, erişim taleplerini "bilmesi gereken" ilkesine göre onaylar.</w:t>
            </w:r>
          </w:p>
        </w:tc>
      </w:tr>
      <w:tr>
        <w:trPr>
          <w:cantSplit/>
          <w:trHeight w:val="380" w:hRule="atLeast"/>
        </w:trPr>
        <w:tc>
          <w:tcPr>
            <w:tcW w:type="dxa" w:w="262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Tüm çalışanlar</w:t>
            </w:r>
          </w:p>
        </w:tc>
        <w:tc>
          <w:tcPr>
            <w:tcW w:type="dxa" w:w="701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Politikaya ve talimatlara uyar, şüpheli durumları derhal bildirir.</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5. </w:t>
      </w:r>
      <w:r>
        <w:rPr>
          <w:rFonts w:ascii="Calibri" w:cs="Calibri" w:eastAsia="Calibri" w:hAnsi="Calibri"/>
          <w:b/>
          <w:bCs/>
          <w:color w:val="0E2849"/>
          <w:sz w:val="25"/>
          <w:szCs w:val="25"/>
        </w:rPr>
        <w:t xml:space="preserve">Bilgi Varlıklarının Sınıflandırılması</w:t>
      </w:r>
    </w:p>
    <w:p>
      <w:pPr>
        <w:spacing w:after="120" w:before="0" w:line="300"/>
        <w:jc w:val="both"/>
      </w:pPr>
      <w:r>
        <w:rPr>
          <w:rFonts w:ascii="Calibri" w:cs="Calibri" w:eastAsia="Calibri" w:hAnsi="Calibri"/>
          <w:color w:val="3A4A61"/>
          <w:sz w:val="21"/>
          <w:szCs w:val="21"/>
        </w:rPr>
        <w:t xml:space="preserve">Bilgiler, sahip oldukları değere ve yetkisiz erişim halinde doğabilecek zarara göre sınıflandırılır ve buna uygun şekilde korunur: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700"/>
        <w:gridCol w:w="3968"/>
        <w:gridCol w:w="3970"/>
      </w:tblGrid>
      <w:tr>
        <w:trPr>
          <w:cantSplit/>
          <w:trHeight w:val="400" w:hRule="atLeast"/>
        </w:trPr>
        <w:tc>
          <w:tcPr>
            <w:tcW w:type="dxa" w:w="170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Sınıf</w:t>
            </w:r>
          </w:p>
        </w:tc>
        <w:tc>
          <w:tcPr>
            <w:tcW w:type="dxa" w:w="3968"/>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Örnek</w:t>
            </w:r>
          </w:p>
        </w:tc>
        <w:tc>
          <w:tcPr>
            <w:tcW w:type="dxa" w:w="3970"/>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Temel Kural</w:t>
            </w:r>
          </w:p>
        </w:tc>
      </w:tr>
      <w:tr>
        <w:trPr>
          <w:cantSplit/>
          <w:trHeight w:val="380" w:hRule="atLeast"/>
        </w:trPr>
        <w:tc>
          <w:tcPr>
            <w:tcW w:type="dxa" w:w="170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Kamuya açık</w:t>
            </w:r>
          </w:p>
        </w:tc>
        <w:tc>
          <w:tcPr>
            <w:tcW w:type="dxa" w:w="396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Web sitesi içerikleri, yayımlanmış duyurular</w:t>
            </w:r>
          </w:p>
        </w:tc>
        <w:tc>
          <w:tcPr>
            <w:tcW w:type="dxa" w:w="39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Yayımlanmadan önce yetkili onayı alınır.</w:t>
            </w:r>
          </w:p>
        </w:tc>
      </w:tr>
      <w:tr>
        <w:trPr>
          <w:cantSplit/>
          <w:trHeight w:val="380" w:hRule="atLeast"/>
        </w:trPr>
        <w:tc>
          <w:tcPr>
            <w:tcW w:type="dxa" w:w="170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Kurum içi</w:t>
            </w:r>
          </w:p>
        </w:tc>
        <w:tc>
          <w:tcPr>
            <w:tcW w:type="dxa" w:w="39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İç duyurular, prosedürler</w:t>
            </w:r>
          </w:p>
        </w:tc>
        <w:tc>
          <w:tcPr>
            <w:tcW w:type="dxa" w:w="39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Şirket dışına paylaşılmaz.</w:t>
            </w:r>
          </w:p>
        </w:tc>
      </w:tr>
      <w:tr>
        <w:trPr>
          <w:cantSplit/>
          <w:trHeight w:val="380" w:hRule="atLeast"/>
        </w:trPr>
        <w:tc>
          <w:tcPr>
            <w:tcW w:type="dxa" w:w="170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Gizli</w:t>
            </w:r>
          </w:p>
        </w:tc>
        <w:tc>
          <w:tcPr>
            <w:tcW w:type="dxa" w:w="3968"/>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Sözleşmeler, finansal veriler, müşteri bilgileri, çalışan kişisel verileri</w:t>
            </w:r>
          </w:p>
        </w:tc>
        <w:tc>
          <w:tcPr>
            <w:tcW w:type="dxa" w:w="3970"/>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Yalnızca yetkili kişilerle, güvenli kanallardan paylaşılır.</w:t>
            </w:r>
          </w:p>
        </w:tc>
      </w:tr>
      <w:tr>
        <w:trPr>
          <w:cantSplit/>
          <w:trHeight w:val="380" w:hRule="atLeast"/>
        </w:trPr>
        <w:tc>
          <w:tcPr>
            <w:tcW w:type="dxa" w:w="170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Çok gizli</w:t>
            </w:r>
          </w:p>
        </w:tc>
        <w:tc>
          <w:tcPr>
            <w:tcW w:type="dxa" w:w="3968"/>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Özel nitelikli kişisel veriler, stratejik planlar, erişim bilgileri</w:t>
            </w:r>
          </w:p>
        </w:tc>
        <w:tc>
          <w:tcPr>
            <w:tcW w:type="dxa" w:w="3970"/>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Şifreli saklanır; erişim kayıt altına alınır ve en dar kapsamda tutulur.</w:t>
            </w:r>
          </w:p>
        </w:tc>
      </w:tr>
    </w:tbl>
    <w:p>
      <w:pPr>
        <w:spacing w:after="120" w:before="0"/>
      </w:pPr>
    </w:p>
    <w:p>
      <w:pPr>
        <w:keepNext/>
        <w:pBdr>
          <w:bottom w:val="single" w:color="DCE4EE" w:sz="6" w:space="4"/>
        </w:pBdr>
        <w:spacing w:before="280" w:after="120"/>
      </w:pPr>
      <w:r>
        <w:rPr>
          <w:rFonts w:ascii="Calibri" w:cs="Calibri" w:eastAsia="Calibri" w:hAnsi="Calibri"/>
          <w:b/>
          <w:bCs/>
          <w:color w:val="13B8A7"/>
          <w:sz w:val="25"/>
          <w:szCs w:val="25"/>
        </w:rPr>
        <w:t xml:space="preserve">6. </w:t>
      </w:r>
      <w:r>
        <w:rPr>
          <w:rFonts w:ascii="Calibri" w:cs="Calibri" w:eastAsia="Calibri" w:hAnsi="Calibri"/>
          <w:b/>
          <w:bCs/>
          <w:color w:val="0E2849"/>
          <w:sz w:val="25"/>
          <w:szCs w:val="25"/>
        </w:rPr>
        <w:t xml:space="preserve">Erişim Kontrolü ve Parola Güvenliği</w:t>
      </w:r>
    </w:p>
    <w:p>
      <w:pPr>
        <w:pStyle w:val="ListParagraph"/>
        <w:numPr>
          <w:ilvl w:val="0"/>
          <w:numId w:val="2"/>
        </w:numPr>
        <w:spacing w:after="80" w:line="290"/>
      </w:pPr>
      <w:r>
        <w:rPr>
          <w:rFonts w:ascii="Calibri" w:cs="Calibri" w:eastAsia="Calibri" w:hAnsi="Calibri"/>
          <w:color w:val="3A4A61"/>
          <w:sz w:val="21"/>
          <w:szCs w:val="21"/>
        </w:rPr>
        <w:t xml:space="preserve">Erişim yetkileri, görevin gerektirdiği asgari düzeyde ("bilmesi gereken" ve "en az yetki" ilkeleri) ve yönetici onayıyla verilir.</w:t>
      </w:r>
    </w:p>
    <w:p>
      <w:pPr>
        <w:pStyle w:val="ListParagraph"/>
        <w:numPr>
          <w:ilvl w:val="0"/>
          <w:numId w:val="2"/>
        </w:numPr>
        <w:spacing w:after="80" w:line="290"/>
      </w:pPr>
      <w:r>
        <w:rPr>
          <w:rFonts w:ascii="Calibri" w:cs="Calibri" w:eastAsia="Calibri" w:hAnsi="Calibri"/>
          <w:color w:val="3A4A61"/>
          <w:sz w:val="21"/>
          <w:szCs w:val="21"/>
        </w:rPr>
        <w:t xml:space="preserve">Her kullanıcının kendine ait hesabı vardır; hesaplar ve parolalar başkalarıyla paylaşılamaz.</w:t>
      </w:r>
    </w:p>
    <w:p>
      <w:pPr>
        <w:pStyle w:val="ListParagraph"/>
        <w:numPr>
          <w:ilvl w:val="0"/>
          <w:numId w:val="2"/>
        </w:numPr>
        <w:spacing w:after="80" w:line="290"/>
      </w:pPr>
      <w:r>
        <w:rPr>
          <w:rFonts w:ascii="Calibri" w:cs="Calibri" w:eastAsia="Calibri" w:hAnsi="Calibri"/>
          <w:color w:val="3A4A61"/>
          <w:sz w:val="21"/>
          <w:szCs w:val="21"/>
        </w:rPr>
        <w:t xml:space="preserve">Parolalar en az </w:t>
      </w:r>
      <w:r>
        <w:rPr>
          <w:rFonts w:ascii="Calibri" w:cs="Calibri" w:eastAsia="Calibri" w:hAnsi="Calibri"/>
          <w:color w:val="1D5888"/>
          <w:sz w:val="21"/>
          <w:szCs w:val="21"/>
          <w:shd w:fill="EAF1F8" w:color="auto" w:val="clear"/>
        </w:rPr>
        <w:t xml:space="preserve">[karakter sayısı]</w:t>
      </w:r>
      <w:r>
        <w:rPr>
          <w:rFonts w:ascii="Calibri" w:cs="Calibri" w:eastAsia="Calibri" w:hAnsi="Calibri"/>
          <w:color w:val="3A4A61"/>
          <w:sz w:val="21"/>
          <w:szCs w:val="21"/>
        </w:rPr>
        <w:t xml:space="preserve"> karakterden oluşur; harf, rakam ve özel karakter içerir ve </w:t>
      </w:r>
      <w:r>
        <w:rPr>
          <w:rFonts w:ascii="Calibri" w:cs="Calibri" w:eastAsia="Calibri" w:hAnsi="Calibri"/>
          <w:color w:val="1D5888"/>
          <w:sz w:val="21"/>
          <w:szCs w:val="21"/>
          <w:shd w:fill="EAF1F8" w:color="auto" w:val="clear"/>
        </w:rPr>
        <w:t xml:space="preserve">[süre]</w:t>
      </w:r>
      <w:r>
        <w:rPr>
          <w:rFonts w:ascii="Calibri" w:cs="Calibri" w:eastAsia="Calibri" w:hAnsi="Calibri"/>
          <w:color w:val="3A4A61"/>
          <w:sz w:val="21"/>
          <w:szCs w:val="21"/>
        </w:rPr>
        <w:t xml:space="preserve"> aralıklarla ya da şüphe halinde değiştirilir.</w:t>
      </w:r>
    </w:p>
    <w:p>
      <w:pPr>
        <w:pStyle w:val="ListParagraph"/>
        <w:numPr>
          <w:ilvl w:val="0"/>
          <w:numId w:val="2"/>
        </w:numPr>
        <w:spacing w:after="80" w:line="290"/>
      </w:pPr>
      <w:r>
        <w:rPr>
          <w:rFonts w:ascii="Calibri" w:cs="Calibri" w:eastAsia="Calibri" w:hAnsi="Calibri"/>
          <w:color w:val="3A4A61"/>
          <w:sz w:val="21"/>
          <w:szCs w:val="21"/>
        </w:rPr>
        <w:t xml:space="preserve">Kritik sistemlere ve uzaktan erişimde çok faktörlü doğrulama kullanılır.</w:t>
      </w:r>
    </w:p>
    <w:p>
      <w:pPr>
        <w:pStyle w:val="ListParagraph"/>
        <w:numPr>
          <w:ilvl w:val="0"/>
          <w:numId w:val="2"/>
        </w:numPr>
        <w:spacing w:after="80" w:line="290"/>
      </w:pPr>
      <w:r>
        <w:rPr>
          <w:rFonts w:ascii="Calibri" w:cs="Calibri" w:eastAsia="Calibri" w:hAnsi="Calibri"/>
          <w:color w:val="3A4A61"/>
          <w:sz w:val="21"/>
          <w:szCs w:val="21"/>
        </w:rPr>
        <w:t xml:space="preserve">Erişim yetkileri </w:t>
      </w:r>
      <w:r>
        <w:rPr>
          <w:rFonts w:ascii="Calibri" w:cs="Calibri" w:eastAsia="Calibri" w:hAnsi="Calibri"/>
          <w:color w:val="1D5888"/>
          <w:sz w:val="21"/>
          <w:szCs w:val="21"/>
          <w:shd w:fill="EAF1F8" w:color="auto" w:val="clear"/>
        </w:rPr>
        <w:t xml:space="preserve">[periyot]</w:t>
      </w:r>
      <w:r>
        <w:rPr>
          <w:rFonts w:ascii="Calibri" w:cs="Calibri" w:eastAsia="Calibri" w:hAnsi="Calibri"/>
          <w:color w:val="3A4A61"/>
          <w:sz w:val="21"/>
          <w:szCs w:val="21"/>
        </w:rPr>
        <w:t xml:space="preserve"> gözden geçirilir; görev değişikliği ve işten ayrılışta gecikmeksizin güncellenir veya kapatılır.</w:t>
      </w:r>
    </w:p>
    <w:p>
      <w:pPr>
        <w:keepNext/>
        <w:pBdr>
          <w:bottom w:val="single" w:color="DCE4EE" w:sz="6" w:space="4"/>
        </w:pBdr>
        <w:spacing w:before="280" w:after="120"/>
      </w:pPr>
      <w:r>
        <w:rPr>
          <w:rFonts w:ascii="Calibri" w:cs="Calibri" w:eastAsia="Calibri" w:hAnsi="Calibri"/>
          <w:b/>
          <w:bCs/>
          <w:color w:val="13B8A7"/>
          <w:sz w:val="25"/>
          <w:szCs w:val="25"/>
        </w:rPr>
        <w:t xml:space="preserve">7. </w:t>
      </w:r>
      <w:r>
        <w:rPr>
          <w:rFonts w:ascii="Calibri" w:cs="Calibri" w:eastAsia="Calibri" w:hAnsi="Calibri"/>
          <w:b/>
          <w:bCs/>
          <w:color w:val="0E2849"/>
          <w:sz w:val="25"/>
          <w:szCs w:val="25"/>
        </w:rPr>
        <w:t xml:space="preserve">Temiz Masa ve Temiz Ekran</w:t>
      </w:r>
    </w:p>
    <w:p>
      <w:pPr>
        <w:pStyle w:val="ListParagraph"/>
        <w:numPr>
          <w:ilvl w:val="0"/>
          <w:numId w:val="2"/>
        </w:numPr>
        <w:spacing w:after="80" w:line="290"/>
      </w:pPr>
      <w:r>
        <w:rPr>
          <w:rFonts w:ascii="Calibri" w:cs="Calibri" w:eastAsia="Calibri" w:hAnsi="Calibri"/>
          <w:color w:val="3A4A61"/>
          <w:sz w:val="21"/>
          <w:szCs w:val="21"/>
        </w:rPr>
        <w:t xml:space="preserve">Çalışma alanından ayrılırken ekran kilitlenir; gizli belgeler masada bırakılmaz, kilitli dolaplarda saklanır.</w:t>
      </w:r>
    </w:p>
    <w:p>
      <w:pPr>
        <w:pStyle w:val="ListParagraph"/>
        <w:numPr>
          <w:ilvl w:val="0"/>
          <w:numId w:val="2"/>
        </w:numPr>
        <w:spacing w:after="80" w:line="290"/>
      </w:pPr>
      <w:r>
        <w:rPr>
          <w:rFonts w:ascii="Calibri" w:cs="Calibri" w:eastAsia="Calibri" w:hAnsi="Calibri"/>
          <w:color w:val="3A4A61"/>
          <w:sz w:val="21"/>
          <w:szCs w:val="21"/>
        </w:rPr>
        <w:t xml:space="preserve">Yazıcıdan alınan çıktılar beklenmeden teslim alınır; gizli belgeler kâğıt imha makinesiyle imha edilir.</w:t>
      </w:r>
    </w:p>
    <w:p>
      <w:pPr>
        <w:pStyle w:val="ListParagraph"/>
        <w:numPr>
          <w:ilvl w:val="0"/>
          <w:numId w:val="2"/>
        </w:numPr>
        <w:spacing w:after="80" w:line="290"/>
      </w:pPr>
      <w:r>
        <w:rPr>
          <w:rFonts w:ascii="Calibri" w:cs="Calibri" w:eastAsia="Calibri" w:hAnsi="Calibri"/>
          <w:color w:val="3A4A61"/>
          <w:sz w:val="21"/>
          <w:szCs w:val="21"/>
        </w:rPr>
        <w:t xml:space="preserve">Parola, erişim kartı veya şifre bilgileri yazılı olarak görünür yerlerde tutulmaz.</w:t>
      </w:r>
    </w:p>
    <w:p>
      <w:pPr>
        <w:keepNext/>
        <w:pBdr>
          <w:bottom w:val="single" w:color="DCE4EE" w:sz="6" w:space="4"/>
        </w:pBdr>
        <w:spacing w:before="280" w:after="120"/>
      </w:pPr>
      <w:r>
        <w:rPr>
          <w:rFonts w:ascii="Calibri" w:cs="Calibri" w:eastAsia="Calibri" w:hAnsi="Calibri"/>
          <w:b/>
          <w:bCs/>
          <w:color w:val="13B8A7"/>
          <w:sz w:val="25"/>
          <w:szCs w:val="25"/>
        </w:rPr>
        <w:t xml:space="preserve">8. </w:t>
      </w:r>
      <w:r>
        <w:rPr>
          <w:rFonts w:ascii="Calibri" w:cs="Calibri" w:eastAsia="Calibri" w:hAnsi="Calibri"/>
          <w:b/>
          <w:bCs/>
          <w:color w:val="0E2849"/>
          <w:sz w:val="25"/>
          <w:szCs w:val="25"/>
        </w:rPr>
        <w:t xml:space="preserve">E-posta, İnternet ve Kurumsal Sistemlerin Kullanımı</w:t>
      </w:r>
    </w:p>
    <w:p>
      <w:pPr>
        <w:pStyle w:val="ListParagraph"/>
        <w:numPr>
          <w:ilvl w:val="0"/>
          <w:numId w:val="2"/>
        </w:numPr>
        <w:spacing w:after="80" w:line="290"/>
      </w:pPr>
      <w:r>
        <w:rPr>
          <w:rFonts w:ascii="Calibri" w:cs="Calibri" w:eastAsia="Calibri" w:hAnsi="Calibri"/>
          <w:color w:val="3A4A61"/>
          <w:sz w:val="21"/>
          <w:szCs w:val="21"/>
        </w:rPr>
        <w:t xml:space="preserve">Kurumsal e-posta ve sistemler iş amaçlı kullanılır; Şirket bilgileri kişisel e-posta, kişisel bulut veya mesajlaşma uygulamalarına aktarılamaz.</w:t>
      </w:r>
    </w:p>
    <w:p>
      <w:pPr>
        <w:pStyle w:val="ListParagraph"/>
        <w:numPr>
          <w:ilvl w:val="0"/>
          <w:numId w:val="2"/>
        </w:numPr>
        <w:spacing w:after="80" w:line="290"/>
      </w:pPr>
      <w:r>
        <w:rPr>
          <w:rFonts w:ascii="Calibri" w:cs="Calibri" w:eastAsia="Calibri" w:hAnsi="Calibri"/>
          <w:color w:val="3A4A61"/>
          <w:sz w:val="21"/>
          <w:szCs w:val="21"/>
        </w:rPr>
        <w:t xml:space="preserve">Kaynağı bilinmeyen e-postalardaki bağlantılar ve ekler açılmaz; oltalama (phishing) şüphesi BT birimine bildirilir.</w:t>
      </w:r>
    </w:p>
    <w:p>
      <w:pPr>
        <w:pStyle w:val="ListParagraph"/>
        <w:numPr>
          <w:ilvl w:val="0"/>
          <w:numId w:val="2"/>
        </w:numPr>
        <w:spacing w:after="80" w:line="290"/>
      </w:pPr>
      <w:r>
        <w:rPr>
          <w:rFonts w:ascii="Calibri" w:cs="Calibri" w:eastAsia="Calibri" w:hAnsi="Calibri"/>
          <w:color w:val="3A4A61"/>
          <w:sz w:val="21"/>
          <w:szCs w:val="21"/>
        </w:rPr>
        <w:t xml:space="preserve">Yalnızca BT birimince onaylanmış yazılımlar kurulabilir; lisanssız yazılım kullanılamaz.</w:t>
      </w:r>
    </w:p>
    <w:p>
      <w:pPr>
        <w:pStyle w:val="ListParagraph"/>
        <w:numPr>
          <w:ilvl w:val="0"/>
          <w:numId w:val="2"/>
        </w:numPr>
        <w:spacing w:after="80" w:line="290"/>
      </w:pPr>
      <w:r>
        <w:rPr>
          <w:rFonts w:ascii="Calibri" w:cs="Calibri" w:eastAsia="Calibri" w:hAnsi="Calibri"/>
          <w:color w:val="3A4A61"/>
          <w:sz w:val="21"/>
          <w:szCs w:val="21"/>
        </w:rPr>
        <w:t xml:space="preserve">Şirket, bilgi güvenliğini sağlamak amacıyla kurumsal sistemleri ölçülülük ilkesine uygun şekilde ve çalışanları önceden aydınlatarak izleyebilir; izlemenin kapsamı çalışan aydınlatma metninde açıklanır.</w:t>
      </w:r>
    </w:p>
    <w:p>
      <w:pPr>
        <w:keepNext/>
        <w:pBdr>
          <w:bottom w:val="single" w:color="DCE4EE" w:sz="6" w:space="4"/>
        </w:pBdr>
        <w:spacing w:before="280" w:after="120"/>
      </w:pPr>
      <w:r>
        <w:rPr>
          <w:rFonts w:ascii="Calibri" w:cs="Calibri" w:eastAsia="Calibri" w:hAnsi="Calibri"/>
          <w:b/>
          <w:bCs/>
          <w:color w:val="13B8A7"/>
          <w:sz w:val="25"/>
          <w:szCs w:val="25"/>
        </w:rPr>
        <w:t xml:space="preserve">9. </w:t>
      </w:r>
      <w:r>
        <w:rPr>
          <w:rFonts w:ascii="Calibri" w:cs="Calibri" w:eastAsia="Calibri" w:hAnsi="Calibri"/>
          <w:b/>
          <w:bCs/>
          <w:color w:val="0E2849"/>
          <w:sz w:val="25"/>
          <w:szCs w:val="25"/>
        </w:rPr>
        <w:t xml:space="preserve">Mobil Cihazlar, Taşınabilir Ortamlar ve Uzaktan Çalışma</w:t>
      </w:r>
    </w:p>
    <w:p>
      <w:pPr>
        <w:pStyle w:val="ListParagraph"/>
        <w:numPr>
          <w:ilvl w:val="0"/>
          <w:numId w:val="2"/>
        </w:numPr>
        <w:spacing w:after="80" w:line="290"/>
      </w:pPr>
      <w:r>
        <w:rPr>
          <w:rFonts w:ascii="Calibri" w:cs="Calibri" w:eastAsia="Calibri" w:hAnsi="Calibri"/>
          <w:color w:val="3A4A61"/>
          <w:sz w:val="21"/>
          <w:szCs w:val="21"/>
        </w:rPr>
        <w:t xml:space="preserve">Şirket bilgisi içeren dizüstü bilgisayar ve mobil cihazlarda disk şifreleme, ekran kilidi ve güncel güvenlik yazılımı kullanılır.</w:t>
      </w:r>
    </w:p>
    <w:p>
      <w:pPr>
        <w:pStyle w:val="ListParagraph"/>
        <w:numPr>
          <w:ilvl w:val="0"/>
          <w:numId w:val="2"/>
        </w:numPr>
        <w:spacing w:after="80" w:line="290"/>
      </w:pPr>
      <w:r>
        <w:rPr>
          <w:rFonts w:ascii="Calibri" w:cs="Calibri" w:eastAsia="Calibri" w:hAnsi="Calibri"/>
          <w:color w:val="3A4A61"/>
          <w:sz w:val="21"/>
          <w:szCs w:val="21"/>
        </w:rPr>
        <w:t xml:space="preserve">USB bellek gibi taşınabilir ortamlar yalnızca izin verilen hallerde ve şifreli olarak kullanılır.</w:t>
      </w:r>
    </w:p>
    <w:p>
      <w:pPr>
        <w:pStyle w:val="ListParagraph"/>
        <w:numPr>
          <w:ilvl w:val="0"/>
          <w:numId w:val="2"/>
        </w:numPr>
        <w:spacing w:after="80" w:line="290"/>
      </w:pPr>
      <w:r>
        <w:rPr>
          <w:rFonts w:ascii="Calibri" w:cs="Calibri" w:eastAsia="Calibri" w:hAnsi="Calibri"/>
          <w:color w:val="3A4A61"/>
          <w:sz w:val="21"/>
          <w:szCs w:val="21"/>
        </w:rPr>
        <w:t xml:space="preserve">Uzaktan çalışmada Şirket sistemlerine yalnızca </w:t>
      </w:r>
      <w:r>
        <w:rPr>
          <w:rFonts w:ascii="Calibri" w:cs="Calibri" w:eastAsia="Calibri" w:hAnsi="Calibri"/>
          <w:color w:val="1D5888"/>
          <w:sz w:val="21"/>
          <w:szCs w:val="21"/>
          <w:shd w:fill="EAF1F8" w:color="auto" w:val="clear"/>
        </w:rPr>
        <w:t xml:space="preserve">[VPN / güvenli erişim yöntemi]</w:t>
      </w:r>
      <w:r>
        <w:rPr>
          <w:rFonts w:ascii="Calibri" w:cs="Calibri" w:eastAsia="Calibri" w:hAnsi="Calibri"/>
          <w:color w:val="3A4A61"/>
          <w:sz w:val="21"/>
          <w:szCs w:val="21"/>
        </w:rPr>
        <w:t xml:space="preserve"> üzerinden bağlanılır; ortak kullanılan veya açık ağlarda gizli bilgi işlenmez.</w:t>
      </w:r>
    </w:p>
    <w:p>
      <w:pPr>
        <w:pStyle w:val="ListParagraph"/>
        <w:numPr>
          <w:ilvl w:val="0"/>
          <w:numId w:val="2"/>
        </w:numPr>
        <w:spacing w:after="80" w:line="290"/>
      </w:pPr>
      <w:r>
        <w:rPr>
          <w:rFonts w:ascii="Calibri" w:cs="Calibri" w:eastAsia="Calibri" w:hAnsi="Calibri"/>
          <w:color w:val="3A4A61"/>
          <w:sz w:val="21"/>
          <w:szCs w:val="21"/>
        </w:rPr>
        <w:t xml:space="preserve">Cihazın kaybolması veya çalınması derhal BT birimine bildirilir.</w:t>
      </w:r>
    </w:p>
    <w:p>
      <w:pPr>
        <w:keepNext/>
        <w:pBdr>
          <w:bottom w:val="single" w:color="DCE4EE" w:sz="6" w:space="4"/>
        </w:pBdr>
        <w:spacing w:before="280" w:after="120"/>
      </w:pPr>
      <w:r>
        <w:rPr>
          <w:rFonts w:ascii="Calibri" w:cs="Calibri" w:eastAsia="Calibri" w:hAnsi="Calibri"/>
          <w:b/>
          <w:bCs/>
          <w:color w:val="13B8A7"/>
          <w:sz w:val="25"/>
          <w:szCs w:val="25"/>
        </w:rPr>
        <w:t xml:space="preserve">10. </w:t>
      </w:r>
      <w:r>
        <w:rPr>
          <w:rFonts w:ascii="Calibri" w:cs="Calibri" w:eastAsia="Calibri" w:hAnsi="Calibri"/>
          <w:b/>
          <w:bCs/>
          <w:color w:val="0E2849"/>
          <w:sz w:val="25"/>
          <w:szCs w:val="25"/>
        </w:rPr>
        <w:t xml:space="preserve">Yedekleme, Güncelleme ve Teknik Tedbirler</w:t>
      </w:r>
    </w:p>
    <w:p>
      <w:pPr>
        <w:pStyle w:val="ListParagraph"/>
        <w:numPr>
          <w:ilvl w:val="0"/>
          <w:numId w:val="2"/>
        </w:numPr>
        <w:spacing w:after="80" w:line="290"/>
      </w:pPr>
      <w:r>
        <w:rPr>
          <w:rFonts w:ascii="Calibri" w:cs="Calibri" w:eastAsia="Calibri" w:hAnsi="Calibri"/>
          <w:color w:val="3A4A61"/>
          <w:sz w:val="21"/>
          <w:szCs w:val="21"/>
        </w:rPr>
        <w:t xml:space="preserve">Kritik veriler </w:t>
      </w:r>
      <w:r>
        <w:rPr>
          <w:rFonts w:ascii="Calibri" w:cs="Calibri" w:eastAsia="Calibri" w:hAnsi="Calibri"/>
          <w:color w:val="1D5888"/>
          <w:sz w:val="21"/>
          <w:szCs w:val="21"/>
          <w:shd w:fill="EAF1F8" w:color="auto" w:val="clear"/>
        </w:rPr>
        <w:t xml:space="preserve">[periyot]</w:t>
      </w:r>
      <w:r>
        <w:rPr>
          <w:rFonts w:ascii="Calibri" w:cs="Calibri" w:eastAsia="Calibri" w:hAnsi="Calibri"/>
          <w:color w:val="3A4A61"/>
          <w:sz w:val="21"/>
          <w:szCs w:val="21"/>
        </w:rPr>
        <w:t xml:space="preserve"> yedeklenir; yedeklerin geri yüklenebilirliği düzenli olarak test edilir.</w:t>
      </w:r>
    </w:p>
    <w:p>
      <w:pPr>
        <w:pStyle w:val="ListParagraph"/>
        <w:numPr>
          <w:ilvl w:val="0"/>
          <w:numId w:val="2"/>
        </w:numPr>
        <w:spacing w:after="80" w:line="290"/>
      </w:pPr>
      <w:r>
        <w:rPr>
          <w:rFonts w:ascii="Calibri" w:cs="Calibri" w:eastAsia="Calibri" w:hAnsi="Calibri"/>
          <w:color w:val="3A4A61"/>
          <w:sz w:val="21"/>
          <w:szCs w:val="21"/>
        </w:rPr>
        <w:t xml:space="preserve">İşletim sistemi ve yazılım güncellemeleri BT birimi tarafından planlı olarak uygulanır.</w:t>
      </w:r>
    </w:p>
    <w:p>
      <w:pPr>
        <w:pStyle w:val="ListParagraph"/>
        <w:numPr>
          <w:ilvl w:val="0"/>
          <w:numId w:val="2"/>
        </w:numPr>
        <w:spacing w:after="80" w:line="290"/>
      </w:pPr>
      <w:r>
        <w:rPr>
          <w:rFonts w:ascii="Calibri" w:cs="Calibri" w:eastAsia="Calibri" w:hAnsi="Calibri"/>
          <w:color w:val="3A4A61"/>
          <w:sz w:val="21"/>
          <w:szCs w:val="21"/>
        </w:rPr>
        <w:t xml:space="preserve">Ağ güvenliği; güvenlik duvarı, zararlı yazılım koruması ve kayıt (log) yönetimiyle sağlanır.</w:t>
      </w:r>
    </w:p>
    <w:p>
      <w:pPr>
        <w:pStyle w:val="ListParagraph"/>
        <w:numPr>
          <w:ilvl w:val="0"/>
          <w:numId w:val="2"/>
        </w:numPr>
        <w:spacing w:after="80" w:line="290"/>
      </w:pPr>
      <w:r>
        <w:rPr>
          <w:rFonts w:ascii="Calibri" w:cs="Calibri" w:eastAsia="Calibri" w:hAnsi="Calibri"/>
          <w:color w:val="3A4A61"/>
          <w:sz w:val="21"/>
          <w:szCs w:val="21"/>
        </w:rPr>
        <w:t xml:space="preserve">Kişisel verilerin işlendiği sistemlerde erişim kayıtları tutulur ve yetkisiz erişim girişimleri izlenir.</w:t>
      </w:r>
    </w:p>
    <w:p>
      <w:pPr>
        <w:keepNext/>
        <w:pBdr>
          <w:bottom w:val="single" w:color="DCE4EE" w:sz="6" w:space="4"/>
        </w:pBdr>
        <w:spacing w:before="280" w:after="120"/>
      </w:pPr>
      <w:r>
        <w:rPr>
          <w:rFonts w:ascii="Calibri" w:cs="Calibri" w:eastAsia="Calibri" w:hAnsi="Calibri"/>
          <w:b/>
          <w:bCs/>
          <w:color w:val="13B8A7"/>
          <w:sz w:val="25"/>
          <w:szCs w:val="25"/>
        </w:rPr>
        <w:t xml:space="preserve">11. </w:t>
      </w:r>
      <w:r>
        <w:rPr>
          <w:rFonts w:ascii="Calibri" w:cs="Calibri" w:eastAsia="Calibri" w:hAnsi="Calibri"/>
          <w:b/>
          <w:bCs/>
          <w:color w:val="0E2849"/>
          <w:sz w:val="25"/>
          <w:szCs w:val="25"/>
        </w:rPr>
        <w:t xml:space="preserve">Fiziksel Güvenlik</w:t>
      </w:r>
    </w:p>
    <w:p>
      <w:pPr>
        <w:spacing w:after="120" w:before="0" w:line="300"/>
        <w:jc w:val="both"/>
      </w:pPr>
      <w:r>
        <w:rPr>
          <w:rFonts w:ascii="Calibri" w:cs="Calibri" w:eastAsia="Calibri" w:hAnsi="Calibri"/>
          <w:color w:val="3A4A61"/>
          <w:sz w:val="21"/>
          <w:szCs w:val="21"/>
        </w:rPr>
        <w:t xml:space="preserve">Sunucu odası, arşiv ve gizli bilgi bulunan alanlara giriş, yetkilendirilmiş kişilerle sınırlıdır ve kayıt altına alınır. Ziyaretçiler bu alanlara refakatsiz giremez.</w:t>
      </w:r>
    </w:p>
    <w:p>
      <w:pPr>
        <w:keepNext/>
        <w:pBdr>
          <w:bottom w:val="single" w:color="DCE4EE" w:sz="6" w:space="4"/>
        </w:pBdr>
        <w:spacing w:before="280" w:after="120"/>
      </w:pPr>
      <w:r>
        <w:rPr>
          <w:rFonts w:ascii="Calibri" w:cs="Calibri" w:eastAsia="Calibri" w:hAnsi="Calibri"/>
          <w:b/>
          <w:bCs/>
          <w:color w:val="13B8A7"/>
          <w:sz w:val="25"/>
          <w:szCs w:val="25"/>
        </w:rPr>
        <w:t xml:space="preserve">12. </w:t>
      </w:r>
      <w:r>
        <w:rPr>
          <w:rFonts w:ascii="Calibri" w:cs="Calibri" w:eastAsia="Calibri" w:hAnsi="Calibri"/>
          <w:b/>
          <w:bCs/>
          <w:color w:val="0E2849"/>
          <w:sz w:val="25"/>
          <w:szCs w:val="25"/>
        </w:rPr>
        <w:t xml:space="preserve">Tedarikçi ve Üçüncü Taraflar</w:t>
      </w:r>
    </w:p>
    <w:p>
      <w:pPr>
        <w:spacing w:after="120" w:before="0" w:line="300"/>
        <w:jc w:val="both"/>
      </w:pPr>
      <w:r>
        <w:rPr>
          <w:rFonts w:ascii="Calibri" w:cs="Calibri" w:eastAsia="Calibri" w:hAnsi="Calibri"/>
          <w:color w:val="3A4A61"/>
          <w:sz w:val="21"/>
          <w:szCs w:val="21"/>
        </w:rPr>
        <w:t xml:space="preserve">Şirket bilgilerine erişen tedarikçilerle gizlilik ve bilgi güvenliği hükümlerini içeren sözleşmeler yapılır; kişisel veri işleyen tedarikçilerle KVKK'ya uygun veri işleme sözleşmesi imzalanır ve tedarikçilerin teknik ve idari tedbirleri değerlendirilir.</w:t>
      </w:r>
    </w:p>
    <w:p>
      <w:pPr>
        <w:keepNext/>
        <w:pBdr>
          <w:bottom w:val="single" w:color="DCE4EE" w:sz="6" w:space="4"/>
        </w:pBdr>
        <w:spacing w:before="280" w:after="120"/>
      </w:pPr>
      <w:r>
        <w:rPr>
          <w:rFonts w:ascii="Calibri" w:cs="Calibri" w:eastAsia="Calibri" w:hAnsi="Calibri"/>
          <w:b/>
          <w:bCs/>
          <w:color w:val="13B8A7"/>
          <w:sz w:val="25"/>
          <w:szCs w:val="25"/>
        </w:rPr>
        <w:t xml:space="preserve">13. </w:t>
      </w:r>
      <w:r>
        <w:rPr>
          <w:rFonts w:ascii="Calibri" w:cs="Calibri" w:eastAsia="Calibri" w:hAnsi="Calibri"/>
          <w:b/>
          <w:bCs/>
          <w:color w:val="0E2849"/>
          <w:sz w:val="25"/>
          <w:szCs w:val="25"/>
        </w:rPr>
        <w:t xml:space="preserve">Bilgi Güvenliği Olaylarının Bildirimi</w:t>
      </w:r>
    </w:p>
    <w:p>
      <w:pPr>
        <w:pStyle w:val="ListParagraph"/>
        <w:numPr>
          <w:ilvl w:val="0"/>
          <w:numId w:val="2"/>
        </w:numPr>
        <w:spacing w:after="80" w:line="290"/>
      </w:pPr>
      <w:r>
        <w:rPr>
          <w:rFonts w:ascii="Calibri" w:cs="Calibri" w:eastAsia="Calibri" w:hAnsi="Calibri"/>
          <w:color w:val="3A4A61"/>
          <w:sz w:val="21"/>
          <w:szCs w:val="21"/>
        </w:rPr>
        <w:t xml:space="preserve">Şüpheli e-posta, kayıp cihaz, yetkisiz erişim, veri sızıntısı veya hatalı gönderim gibi her olay, fark edilir edilmez </w:t>
      </w:r>
      <w:r>
        <w:rPr>
          <w:rFonts w:ascii="Calibri" w:cs="Calibri" w:eastAsia="Calibri" w:hAnsi="Calibri"/>
          <w:color w:val="1D5888"/>
          <w:sz w:val="21"/>
          <w:szCs w:val="21"/>
          <w:shd w:fill="EAF1F8" w:color="auto" w:val="clear"/>
        </w:rPr>
        <w:t xml:space="preserve">[BT Destek Hattı / E-posta]</w:t>
      </w:r>
      <w:r>
        <w:rPr>
          <w:rFonts w:ascii="Calibri" w:cs="Calibri" w:eastAsia="Calibri" w:hAnsi="Calibri"/>
          <w:color w:val="3A4A61"/>
          <w:sz w:val="21"/>
          <w:szCs w:val="21"/>
        </w:rPr>
        <w:t xml:space="preserve"> üzerinden bildirilir.</w:t>
      </w:r>
    </w:p>
    <w:p>
      <w:pPr>
        <w:pStyle w:val="ListParagraph"/>
        <w:numPr>
          <w:ilvl w:val="0"/>
          <w:numId w:val="2"/>
        </w:numPr>
        <w:spacing w:after="80" w:line="290"/>
      </w:pPr>
      <w:r>
        <w:rPr>
          <w:rFonts w:ascii="Calibri" w:cs="Calibri" w:eastAsia="Calibri" w:hAnsi="Calibri"/>
          <w:color w:val="3A4A61"/>
          <w:sz w:val="21"/>
          <w:szCs w:val="21"/>
        </w:rPr>
        <w:t xml:space="preserve">Bildirim yapan çalışan, olayı kendi başına çözmeye veya delilleri silmeye çalışmaz.</w:t>
      </w:r>
    </w:p>
    <w:p>
      <w:pPr>
        <w:pStyle w:val="ListParagraph"/>
        <w:numPr>
          <w:ilvl w:val="0"/>
          <w:numId w:val="2"/>
        </w:numPr>
        <w:spacing w:after="80" w:line="290"/>
      </w:pPr>
      <w:r>
        <w:rPr>
          <w:rFonts w:ascii="Calibri" w:cs="Calibri" w:eastAsia="Calibri" w:hAnsi="Calibri"/>
          <w:color w:val="3A4A61"/>
          <w:sz w:val="21"/>
          <w:szCs w:val="21"/>
        </w:rPr>
        <w:t xml:space="preserve">Olay kişisel veri ihlali niteliğindeyse, Kişisel Verileri Koruma Kurulu'na en kısa sürede ve en geç </w:t>
      </w:r>
      <w:r>
        <w:rPr>
          <w:rFonts w:ascii="Calibri" w:cs="Calibri" w:eastAsia="Calibri" w:hAnsi="Calibri"/>
          <w:b/>
          <w:bCs/>
          <w:color w:val="3A4A61"/>
          <w:sz w:val="21"/>
          <w:szCs w:val="21"/>
        </w:rPr>
        <w:t xml:space="preserve">72 saat</w:t>
      </w:r>
      <w:r>
        <w:rPr>
          <w:rFonts w:ascii="Calibri" w:cs="Calibri" w:eastAsia="Calibri" w:hAnsi="Calibri"/>
          <w:color w:val="3A4A61"/>
          <w:sz w:val="21"/>
          <w:szCs w:val="21"/>
        </w:rPr>
        <w:t xml:space="preserve"> içinde bildirim yapılması ve ilgili kişilerin bilgilendirilmesi için süreç derhal başlatılır.</w:t>
      </w:r>
    </w:p>
    <w:p>
      <w:pPr>
        <w:pStyle w:val="ListParagraph"/>
        <w:numPr>
          <w:ilvl w:val="0"/>
          <w:numId w:val="2"/>
        </w:numPr>
        <w:spacing w:after="80" w:line="290"/>
      </w:pPr>
      <w:r>
        <w:rPr>
          <w:rFonts w:ascii="Calibri" w:cs="Calibri" w:eastAsia="Calibri" w:hAnsi="Calibri"/>
          <w:color w:val="3A4A61"/>
          <w:sz w:val="21"/>
          <w:szCs w:val="21"/>
        </w:rPr>
        <w:t xml:space="preserve">Tüm olaylar kayıt altına alınır, kök nedeni analiz edilir ve tekrarını önleyecek tedbirler belirlenir.</w:t>
      </w:r>
    </w:p>
    <w:p>
      <w:pPr>
        <w:keepNext/>
        <w:pBdr>
          <w:bottom w:val="single" w:color="DCE4EE" w:sz="6" w:space="4"/>
        </w:pBdr>
        <w:spacing w:before="280" w:after="120"/>
      </w:pPr>
      <w:r>
        <w:rPr>
          <w:rFonts w:ascii="Calibri" w:cs="Calibri" w:eastAsia="Calibri" w:hAnsi="Calibri"/>
          <w:b/>
          <w:bCs/>
          <w:color w:val="13B8A7"/>
          <w:sz w:val="25"/>
          <w:szCs w:val="25"/>
        </w:rPr>
        <w:t xml:space="preserve">14. </w:t>
      </w:r>
      <w:r>
        <w:rPr>
          <w:rFonts w:ascii="Calibri" w:cs="Calibri" w:eastAsia="Calibri" w:hAnsi="Calibri"/>
          <w:b/>
          <w:bCs/>
          <w:color w:val="0E2849"/>
          <w:sz w:val="25"/>
          <w:szCs w:val="25"/>
        </w:rPr>
        <w:t xml:space="preserve">Farkındalık Eğitimi</w:t>
      </w:r>
    </w:p>
    <w:p>
      <w:pPr>
        <w:spacing w:after="120" w:before="0" w:line="300"/>
        <w:jc w:val="both"/>
      </w:pPr>
      <w:r>
        <w:rPr>
          <w:rFonts w:ascii="Calibri" w:cs="Calibri" w:eastAsia="Calibri" w:hAnsi="Calibri"/>
          <w:color w:val="3A4A61"/>
          <w:sz w:val="21"/>
          <w:szCs w:val="21"/>
        </w:rPr>
        <w:t xml:space="preserve">Tüm çalışanlara işe girişte ve </w:t>
      </w:r>
      <w:r>
        <w:rPr>
          <w:rFonts w:ascii="Calibri" w:cs="Calibri" w:eastAsia="Calibri" w:hAnsi="Calibri"/>
          <w:color w:val="1D5888"/>
          <w:sz w:val="21"/>
          <w:szCs w:val="21"/>
          <w:shd w:fill="EAF1F8" w:color="auto" w:val="clear"/>
        </w:rPr>
        <w:t xml:space="preserve">[periyot]</w:t>
      </w:r>
      <w:r>
        <w:rPr>
          <w:rFonts w:ascii="Calibri" w:cs="Calibri" w:eastAsia="Calibri" w:hAnsi="Calibri"/>
          <w:color w:val="3A4A61"/>
          <w:sz w:val="21"/>
          <w:szCs w:val="21"/>
        </w:rPr>
        <w:t xml:space="preserve"> bilgi güvenliği ve kişisel verilerin korunması eğitimi verilir; eğitim katılımı kayıt altına alınır. Kritik rollerdeki çalışanlara role özel ek eğitim planlanır.</w:t>
      </w:r>
    </w:p>
    <w:p>
      <w:pPr>
        <w:keepNext/>
        <w:pBdr>
          <w:bottom w:val="single" w:color="DCE4EE" w:sz="6" w:space="4"/>
        </w:pBdr>
        <w:spacing w:before="280" w:after="120"/>
      </w:pPr>
      <w:r>
        <w:rPr>
          <w:rFonts w:ascii="Calibri" w:cs="Calibri" w:eastAsia="Calibri" w:hAnsi="Calibri"/>
          <w:b/>
          <w:bCs/>
          <w:color w:val="13B8A7"/>
          <w:sz w:val="25"/>
          <w:szCs w:val="25"/>
        </w:rPr>
        <w:t xml:space="preserve">15. </w:t>
      </w:r>
      <w:r>
        <w:rPr>
          <w:rFonts w:ascii="Calibri" w:cs="Calibri" w:eastAsia="Calibri" w:hAnsi="Calibri"/>
          <w:b/>
          <w:bCs/>
          <w:color w:val="0E2849"/>
          <w:sz w:val="25"/>
          <w:szCs w:val="25"/>
        </w:rPr>
        <w:t xml:space="preserve">Politikaya Aykırılık</w:t>
      </w:r>
    </w:p>
    <w:p>
      <w:pPr>
        <w:spacing w:after="120" w:before="0" w:line="300"/>
        <w:jc w:val="both"/>
      </w:pPr>
      <w:r>
        <w:rPr>
          <w:rFonts w:ascii="Calibri" w:cs="Calibri" w:eastAsia="Calibri" w:hAnsi="Calibri"/>
          <w:color w:val="3A4A61"/>
          <w:sz w:val="21"/>
          <w:szCs w:val="21"/>
        </w:rPr>
        <w:t xml:space="preserve">Bu politikaya aykırı davranışlar, aykırılığın niteliği ve ağırlığına göre Şirketin disiplin yönetmeliği ve iş mevzuatı çerçevesinde değerlendirilir. Kasıtlı veya ağır ihmal sonucu doğan zararlar için yasal haklar saklıdır.</w:t>
      </w:r>
    </w:p>
    <w:p>
      <w:pPr>
        <w:keepNext/>
        <w:pBdr>
          <w:bottom w:val="single" w:color="DCE4EE" w:sz="6" w:space="4"/>
        </w:pBdr>
        <w:spacing w:before="280" w:after="120"/>
      </w:pPr>
      <w:r>
        <w:rPr>
          <w:rFonts w:ascii="Calibri" w:cs="Calibri" w:eastAsia="Calibri" w:hAnsi="Calibri"/>
          <w:b/>
          <w:bCs/>
          <w:color w:val="13B8A7"/>
          <w:sz w:val="25"/>
          <w:szCs w:val="25"/>
        </w:rPr>
        <w:t xml:space="preserve">16. </w:t>
      </w:r>
      <w:r>
        <w:rPr>
          <w:rFonts w:ascii="Calibri" w:cs="Calibri" w:eastAsia="Calibri" w:hAnsi="Calibri"/>
          <w:b/>
          <w:bCs/>
          <w:color w:val="0E2849"/>
          <w:sz w:val="25"/>
          <w:szCs w:val="25"/>
        </w:rPr>
        <w:t xml:space="preserve">Gözden Geçirme ve Yürürlük</w:t>
      </w:r>
    </w:p>
    <w:p>
      <w:pPr>
        <w:spacing w:after="120" w:before="0" w:line="300"/>
        <w:jc w:val="both"/>
      </w:pPr>
      <w:r>
        <w:rPr>
          <w:rFonts w:ascii="Calibri" w:cs="Calibri" w:eastAsia="Calibri" w:hAnsi="Calibri"/>
          <w:color w:val="3A4A61"/>
          <w:sz w:val="21"/>
          <w:szCs w:val="21"/>
        </w:rPr>
        <w:t xml:space="preserve">Politika en az </w:t>
      </w:r>
      <w:r>
        <w:rPr>
          <w:rFonts w:ascii="Calibri" w:cs="Calibri" w:eastAsia="Calibri" w:hAnsi="Calibri"/>
          <w:color w:val="1D5888"/>
          <w:sz w:val="21"/>
          <w:szCs w:val="21"/>
          <w:shd w:fill="EAF1F8" w:color="auto" w:val="clear"/>
        </w:rPr>
        <w:t xml:space="preserve">[periyot]</w:t>
      </w:r>
      <w:r>
        <w:rPr>
          <w:rFonts w:ascii="Calibri" w:cs="Calibri" w:eastAsia="Calibri" w:hAnsi="Calibri"/>
          <w:color w:val="3A4A61"/>
          <w:sz w:val="21"/>
          <w:szCs w:val="21"/>
        </w:rPr>
        <w:t xml:space="preserve"> ve mevzuat, teknoloji veya organizasyondaki önemli değişikliklerde gözden geçirilir. Bu politika </w:t>
      </w:r>
      <w:r>
        <w:rPr>
          <w:rFonts w:ascii="Calibri" w:cs="Calibri" w:eastAsia="Calibri" w:hAnsi="Calibri"/>
          <w:color w:val="1D5888"/>
          <w:sz w:val="21"/>
          <w:szCs w:val="21"/>
          <w:shd w:fill="EAF1F8" w:color="auto" w:val="clear"/>
        </w:rPr>
        <w:t xml:space="preserve">[Tarih]</w:t>
      </w:r>
      <w:r>
        <w:rPr>
          <w:rFonts w:ascii="Calibri" w:cs="Calibri" w:eastAsia="Calibri" w:hAnsi="Calibri"/>
          <w:color w:val="3A4A61"/>
          <w:sz w:val="21"/>
          <w:szCs w:val="21"/>
        </w:rPr>
        <w:t xml:space="preserve"> tarihinde yürürlüğe girer ve çalışanlara imza karşılığı tebliğ edilir.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101"/>
        <w:gridCol w:w="1652"/>
        <w:gridCol w:w="4681"/>
        <w:gridCol w:w="2204"/>
      </w:tblGrid>
      <w:tr>
        <w:trPr>
          <w:cantSplit/>
          <w:trHeight w:val="400" w:hRule="atLeast"/>
        </w:trPr>
        <w:tc>
          <w:tcPr>
            <w:tcW w:type="dxa" w:w="110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Sürüm</w:t>
            </w:r>
          </w:p>
        </w:tc>
        <w:tc>
          <w:tcPr>
            <w:tcW w:type="dxa" w:w="165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468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Değişiklik</w:t>
            </w:r>
          </w:p>
        </w:tc>
        <w:tc>
          <w:tcPr>
            <w:tcW w:type="dxa" w:w="220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Onaylayan</w:t>
            </w:r>
          </w:p>
        </w:tc>
      </w:tr>
      <w:tr>
        <w:trPr>
          <w:cantSplit/>
          <w:trHeight w:val="380" w:hRule="atLeast"/>
        </w:trPr>
        <w:tc>
          <w:tcPr>
            <w:tcW w:type="dxa" w:w="110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1.0</w:t>
            </w:r>
          </w:p>
        </w:tc>
        <w:tc>
          <w:tcPr>
            <w:tcW w:type="dxa" w:w="165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4681"/>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İlk yayın</w:t>
            </w:r>
          </w:p>
        </w:tc>
        <w:tc>
          <w:tcPr>
            <w:tcW w:type="dxa" w:w="2204"/>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 Soyad / Unvan]</w:t>
            </w:r>
          </w:p>
        </w:tc>
      </w:tr>
      <w:tr>
        <w:trPr>
          <w:cantSplit/>
          <w:trHeight w:val="380" w:hRule="atLeast"/>
        </w:trPr>
        <w:tc>
          <w:tcPr>
            <w:tcW w:type="dxa" w:w="1101"/>
            <w:shd w:fill="F5F8FB" w:color="auto" w:val="clear"/>
            <w:tcMar>
              <w:top w:type="dxa" w:w="60"/>
              <w:left w:type="dxa" w:w="110"/>
              <w:bottom w:type="dxa" w:w="60"/>
              <w:right w:type="dxa" w:w="110"/>
            </w:tcMar>
            <w:vAlign w:val="center"/>
          </w:tcPr>
          <w:p>
            <w:pPr>
              <w:spacing w:before="40" w:after="40"/>
            </w:pPr>
          </w:p>
        </w:tc>
        <w:tc>
          <w:tcPr>
            <w:tcW w:type="dxa" w:w="1652"/>
            <w:shd w:fill="F5F8FB" w:color="auto" w:val="clear"/>
            <w:tcMar>
              <w:top w:type="dxa" w:w="60"/>
              <w:left w:type="dxa" w:w="110"/>
              <w:bottom w:type="dxa" w:w="60"/>
              <w:right w:type="dxa" w:w="110"/>
            </w:tcMar>
            <w:vAlign w:val="center"/>
          </w:tcPr>
          <w:p>
            <w:pPr>
              <w:spacing w:before="40" w:after="40"/>
            </w:pPr>
          </w:p>
        </w:tc>
        <w:tc>
          <w:tcPr>
            <w:tcW w:type="dxa" w:w="4681"/>
            <w:shd w:fill="F5F8FB" w:color="auto" w:val="clear"/>
            <w:tcMar>
              <w:top w:type="dxa" w:w="60"/>
              <w:left w:type="dxa" w:w="110"/>
              <w:bottom w:type="dxa" w:w="60"/>
              <w:right w:type="dxa" w:w="110"/>
            </w:tcMar>
            <w:vAlign w:val="center"/>
          </w:tcPr>
          <w:p>
            <w:pPr>
              <w:spacing w:before="40" w:after="40"/>
            </w:pPr>
          </w:p>
        </w:tc>
        <w:tc>
          <w:tcPr>
            <w:tcW w:type="dxa" w:w="220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1101"/>
            <w:tcMar>
              <w:top w:type="dxa" w:w="60"/>
              <w:left w:type="dxa" w:w="110"/>
              <w:bottom w:type="dxa" w:w="60"/>
              <w:right w:type="dxa" w:w="110"/>
            </w:tcMar>
            <w:vAlign w:val="center"/>
          </w:tcPr>
          <w:p>
            <w:pPr>
              <w:spacing w:before="40" w:after="40"/>
            </w:pPr>
          </w:p>
        </w:tc>
        <w:tc>
          <w:tcPr>
            <w:tcW w:type="dxa" w:w="1652"/>
            <w:tcMar>
              <w:top w:type="dxa" w:w="60"/>
              <w:left w:type="dxa" w:w="110"/>
              <w:bottom w:type="dxa" w:w="60"/>
              <w:right w:type="dxa" w:w="110"/>
            </w:tcMar>
            <w:vAlign w:val="center"/>
          </w:tcPr>
          <w:p>
            <w:pPr>
              <w:spacing w:before="40" w:after="40"/>
            </w:pPr>
          </w:p>
        </w:tc>
        <w:tc>
          <w:tcPr>
            <w:tcW w:type="dxa" w:w="4681"/>
            <w:tcMar>
              <w:top w:type="dxa" w:w="60"/>
              <w:left w:type="dxa" w:w="110"/>
              <w:bottom w:type="dxa" w:w="60"/>
              <w:right w:type="dxa" w:w="110"/>
            </w:tcMar>
            <w:vAlign w:val="center"/>
          </w:tcPr>
          <w:p>
            <w:pPr>
              <w:spacing w:before="40" w:after="40"/>
            </w:pPr>
          </w:p>
        </w:tc>
        <w:tc>
          <w:tcPr>
            <w:tcW w:type="dxa" w:w="2204"/>
            <w:tcMar>
              <w:top w:type="dxa" w:w="60"/>
              <w:left w:type="dxa" w:w="110"/>
              <w:bottom w:type="dxa" w:w="60"/>
              <w:right w:type="dxa" w:w="110"/>
            </w:tcMar>
            <w:vAlign w:val="center"/>
          </w:tcPr>
          <w:p>
            <w:pPr>
              <w:spacing w:before="40" w:after="40"/>
            </w:pP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13B8A7"/>
          <w:sz w:val="25"/>
          <w:szCs w:val="25"/>
        </w:rPr>
        <w:t xml:space="preserve">17. </w:t>
      </w:r>
      <w:r>
        <w:rPr>
          <w:rFonts w:ascii="Calibri" w:cs="Calibri" w:eastAsia="Calibri" w:hAnsi="Calibri"/>
          <w:b/>
          <w:bCs/>
          <w:color w:val="0E2849"/>
          <w:sz w:val="25"/>
          <w:szCs w:val="25"/>
        </w:rPr>
        <w:t xml:space="preserve">Çalışan Taahhütnamesi</w:t>
      </w:r>
    </w:p>
    <w:p>
      <w:pPr>
        <w:spacing w:after="120" w:before="0" w:line="300"/>
        <w:jc w:val="both"/>
      </w:pPr>
      <w:r>
        <w:rPr>
          <w:rFonts w:ascii="Calibri" w:cs="Calibri" w:eastAsia="Calibri" w:hAnsi="Calibri"/>
          <w:color w:val="1D5888"/>
          <w:sz w:val="21"/>
          <w:szCs w:val="21"/>
          <w:shd w:fill="EAF1F8" w:color="auto" w:val="clear"/>
        </w:rPr>
        <w:t xml:space="preserve">[Şirket Unvanı]</w:t>
      </w:r>
      <w:r>
        <w:rPr>
          <w:rFonts w:ascii="Calibri" w:cs="Calibri" w:eastAsia="Calibri" w:hAnsi="Calibri"/>
          <w:color w:val="3A4A61"/>
          <w:sz w:val="21"/>
          <w:szCs w:val="21"/>
        </w:rPr>
        <w:t xml:space="preserve"> Bilgi Güvenliği Politikası'nı okudum, anladım. Politikada ve buna bağlı talimatlarda yer alan kurallara uyacağımı, görevim gereği eriştiğim bilgileri yalnızca iş amacıyla kullanacağımı, bu yükümlülüğün iş ilişkimin sona ermesinden sonra da devam ettiğini ve bilgi güvenliği olaylarını gecikmeksizin bildireceğimi kabul ve taahhüt ederim.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 / Birim</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İnsan Kaynakları</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KURUMSAL POLİTİKA</w:t>
          </w:r>
          <w:r>
            <w:rPr>
              <w:rFonts w:ascii="Calibri" w:cs="Calibri" w:eastAsia="Calibri" w:hAnsi="Calibri"/>
              <w:color w:val="8C9BB0"/>
              <w:sz w:val="16"/>
              <w:szCs w:val="16"/>
            </w:rPr>
            <w:t xml:space="preserve">  ·  Doküman No: [BG-POL-01]</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Bilgi Güvenliği Politikası</dc:title>
  <dc:creator>İK Partner</dc:creator>
  <dc:description>Bilgi Güvenliği Politikası — İK Partner (ikpartner.com) ücretsiz İK şablonu</dc:description>
  <cp:lastModifiedBy>Un-named</cp:lastModifiedBy>
  <cp:revision>1</cp:revision>
  <dcterms:created xsi:type="dcterms:W3CDTF">2026-10-12T11:08:05.039Z</dcterms:created>
  <dcterms:modified xsi:type="dcterms:W3CDTF">2026-10-12T11:08:05.039Z</dcterms:modified>
</cp:coreProperties>
</file>

<file path=docProps/custom.xml><?xml version="1.0" encoding="utf-8"?>
<Properties xmlns="http://schemas.openxmlformats.org/officeDocument/2006/custom-properties" xmlns:vt="http://schemas.openxmlformats.org/officeDocument/2006/docPropsVTypes"/>
</file>