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Belirsiz Süreli Sözleşme Tespit Talebine İşveren Cevabı</w:t>
      </w:r>
    </w:p>
    <w:p>
      <w:pPr>
        <w:pBdr>
          <w:bottom w:val="single" w:color="13B8A7" w:sz="12" w:space="8"/>
        </w:pBdr>
        <w:spacing w:after="220"/>
      </w:pPr>
      <w:r>
        <w:rPr>
          <w:rFonts w:ascii="Calibri" w:cs="Calibri" w:eastAsia="Calibri" w:hAnsi="Calibri"/>
          <w:color w:val="5A6B82"/>
          <w:sz w:val="21"/>
          <w:szCs w:val="21"/>
        </w:rPr>
        <w:t xml:space="preserve">Zincirleme belirli süreli iş sözleşmelerinin belirsiz süreli sayılması talebine (İş Kanunu md. 11) işverenin cevap yazısı; seçenekli paragraflar ve sözleşme zinciri analiz tablosu.</w:t>
      </w:r>
    </w:p>
    <w:p>
      <w:pPr>
        <w:spacing w:after="120" w:before="0" w:line="300"/>
        <w:jc w:val="right"/>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[GG.AA.YYYY]</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Gönderen (İşveren)</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Muhatap (Çalışan)</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T.C. Kimlik No / Sicil No</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Görevi / Birimi</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Tebligat Adresi / E-posta</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İş sözleşmenizin belirsiz süreli sayılması talebiniz hk.</w:t>
            </w:r>
          </w:p>
        </w:tc>
      </w:tr>
    </w:tbl>
    <w:p>
      <w:pPr>
        <w:spacing w:after="120" w:before="0"/>
      </w:pPr>
    </w:p>
    <w:p>
      <w:pPr>
        <w:spacing w:after="120" w:before="0" w:line="300"/>
        <w:jc w:val="both"/>
      </w:pPr>
      <w:r>
        <w:rPr>
          <w:rFonts w:ascii="Calibri" w:cs="Calibri" w:eastAsia="Calibri" w:hAnsi="Calibri"/>
          <w:color w:val="3A4A61"/>
          <w:sz w:val="21"/>
          <w:szCs w:val="21"/>
        </w:rPr>
        <w:t xml:space="preserve">Sayın </w:t>
      </w:r>
      <w:r>
        <w:rPr>
          <w:rFonts w:ascii="Calibri" w:cs="Calibri" w:eastAsia="Calibri" w:hAnsi="Calibri"/>
          <w:color w:val="1D5888"/>
          <w:sz w:val="21"/>
          <w:szCs w:val="21"/>
          <w:shd w:fill="EAF1F8" w:color="auto" w:val="clear"/>
        </w:rPr>
        <w:t xml:space="preserve">[Ad Soyad]</w:t>
      </w:r>
      <w:r>
        <w:rPr>
          <w:rFonts w:ascii="Calibri" w:cs="Calibri" w:eastAsia="Calibri" w:hAnsi="Calibri"/>
          <w:color w:val="3A4A61"/>
          <w:sz w:val="21"/>
          <w:szCs w:val="21"/>
        </w:rPr>
        <w:t xml:space="preserve">,</w:t>
      </w:r>
    </w:p>
    <w:p>
      <w:pPr>
        <w:spacing w:after="120" w:before="0" w:line="300"/>
        <w:jc w:val="both"/>
      </w:pP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tarihli </w:t>
      </w:r>
      <w:r>
        <w:rPr>
          <w:rFonts w:ascii="Calibri" w:cs="Calibri" w:eastAsia="Calibri" w:hAnsi="Calibri"/>
          <w:color w:val="1D5888"/>
          <w:sz w:val="21"/>
          <w:szCs w:val="21"/>
          <w:shd w:fill="EAF1F8" w:color="auto" w:val="clear"/>
        </w:rPr>
        <w:t xml:space="preserve">[dilekçenizde / ihtarnamenizde]</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[İlk Sözleşme Başlangıcı]</w:t>
      </w:r>
      <w:r>
        <w:rPr>
          <w:rFonts w:ascii="Calibri" w:cs="Calibri" w:eastAsia="Calibri" w:hAnsi="Calibri"/>
          <w:color w:val="3A4A61"/>
          <w:sz w:val="21"/>
          <w:szCs w:val="21"/>
        </w:rPr>
        <w:t xml:space="preserve"> tarihinden bu yana birden fazla kez yenilenen belirli süreli iş sözleşmelerinizin esaslı bir neden bulunmadan zincirleme yapıldığını ileri sürerek iş sözleşmenizin 4857 sayılı İş Kanunu md. 11 uyarınca başlangıçtan itibaren belirsiz süreli kabul edilmesini talep ettiniz. Talebiniz, aranızdaki tüm sözleşmeler ve yenilemelerin gerekçeleri incelenerek değerlendirilmiştir.</w:t>
      </w:r>
    </w:p>
    <w:p>
      <w:pPr>
        <w:keepNext/>
        <w:pBdr>
          <w:bottom w:val="single" w:color="DCE4EE" w:sz="6" w:space="4"/>
        </w:pBdr>
        <w:spacing w:before="280" w:after="120"/>
      </w:pPr>
      <w:r>
        <w:rPr>
          <w:rFonts w:ascii="Calibri" w:cs="Calibri" w:eastAsia="Calibri" w:hAnsi="Calibri"/>
          <w:b/>
          <w:bCs/>
          <w:color w:val="0E2849"/>
          <w:sz w:val="25"/>
          <w:szCs w:val="25"/>
        </w:rPr>
        <w:t xml:space="preserve">Sözleşme Zinciri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803"/>
        <w:gridCol w:w="1606"/>
        <w:gridCol w:w="1606"/>
        <w:gridCol w:w="2409"/>
        <w:gridCol w:w="3214"/>
      </w:tblGrid>
      <w:tr>
        <w:trPr>
          <w:cantSplit/>
          <w:trHeight w:val="400" w:hRule="atLeast"/>
        </w:trPr>
        <w:tc>
          <w:tcPr>
            <w:tcW w:type="dxa" w:w="80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No</w:t>
            </w:r>
          </w:p>
        </w:tc>
        <w:tc>
          <w:tcPr>
            <w:tcW w:type="dxa" w:w="16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Başlangıç</w:t>
            </w:r>
          </w:p>
        </w:tc>
        <w:tc>
          <w:tcPr>
            <w:tcW w:type="dxa" w:w="160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Bitiş</w:t>
            </w:r>
          </w:p>
        </w:tc>
        <w:tc>
          <w:tcPr>
            <w:tcW w:type="dxa" w:w="2409"/>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Görev / Proje</w:t>
            </w:r>
          </w:p>
        </w:tc>
        <w:tc>
          <w:tcPr>
            <w:tcW w:type="dxa" w:w="32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Belirli Süre Gerekçesi (Sözleşmede Yazan)</w:t>
            </w:r>
          </w:p>
        </w:tc>
      </w:tr>
      <w:tr>
        <w:trPr>
          <w:cantSplit/>
          <w:trHeight w:val="380" w:hRule="atLeast"/>
        </w:trPr>
        <w:tc>
          <w:tcPr>
            <w:tcW w:type="dxa" w:w="80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321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r>
      <w:tr>
        <w:trPr>
          <w:cantSplit/>
          <w:trHeight w:val="380" w:hRule="atLeast"/>
        </w:trPr>
        <w:tc>
          <w:tcPr>
            <w:tcW w:type="dxa" w:w="80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2</w:t>
            </w:r>
          </w:p>
        </w:tc>
        <w:tc>
          <w:tcPr>
            <w:tcW w:type="dxa" w:w="16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c>
          <w:tcPr>
            <w:tcW w:type="dxa" w:w="160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c>
          <w:tcPr>
            <w:tcW w:type="dxa" w:w="2409"/>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3214"/>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r>
      <w:tr>
        <w:trPr>
          <w:cantSplit/>
          <w:trHeight w:val="380" w:hRule="atLeast"/>
        </w:trPr>
        <w:tc>
          <w:tcPr>
            <w:tcW w:type="dxa" w:w="80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3</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c>
          <w:tcPr>
            <w:tcW w:type="dxa" w:w="160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p>
        </w:tc>
        <w:tc>
          <w:tcPr>
            <w:tcW w:type="dxa" w:w="2409"/>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c>
          <w:tcPr>
            <w:tcW w:type="dxa" w:w="321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[____]</w:t>
            </w:r>
          </w:p>
        </w:tc>
      </w:tr>
      <w:tr>
        <w:trPr>
          <w:cantSplit/>
          <w:trHeight w:val="380" w:hRule="atLeast"/>
        </w:trPr>
        <w:tc>
          <w:tcPr>
            <w:tcW w:type="dxa" w:w="803"/>
            <w:shd w:fill="F5F8FB" w:color="auto" w:val="clear"/>
            <w:tcMar>
              <w:top w:type="dxa" w:w="60"/>
              <w:left w:type="dxa" w:w="110"/>
              <w:bottom w:type="dxa" w:w="60"/>
              <w:right w:type="dxa" w:w="110"/>
            </w:tcMar>
            <w:vAlign w:val="center"/>
          </w:tcPr>
          <w:p>
            <w:pPr>
              <w:spacing w:before="40" w:after="40"/>
            </w:pPr>
          </w:p>
        </w:tc>
        <w:tc>
          <w:tcPr>
            <w:tcW w:type="dxa" w:w="1606"/>
            <w:shd w:fill="F5F8FB" w:color="auto" w:val="clear"/>
            <w:tcMar>
              <w:top w:type="dxa" w:w="60"/>
              <w:left w:type="dxa" w:w="110"/>
              <w:bottom w:type="dxa" w:w="60"/>
              <w:right w:type="dxa" w:w="110"/>
            </w:tcMar>
            <w:vAlign w:val="center"/>
          </w:tcPr>
          <w:p>
            <w:pPr>
              <w:spacing w:before="40" w:after="40"/>
            </w:pPr>
          </w:p>
        </w:tc>
        <w:tc>
          <w:tcPr>
            <w:tcW w:type="dxa" w:w="1606"/>
            <w:shd w:fill="F5F8FB" w:color="auto" w:val="clear"/>
            <w:tcMar>
              <w:top w:type="dxa" w:w="60"/>
              <w:left w:type="dxa" w:w="110"/>
              <w:bottom w:type="dxa" w:w="60"/>
              <w:right w:type="dxa" w:w="110"/>
            </w:tcMar>
            <w:vAlign w:val="center"/>
          </w:tcPr>
          <w:p>
            <w:pPr>
              <w:spacing w:before="40" w:after="40"/>
            </w:pPr>
          </w:p>
        </w:tc>
        <w:tc>
          <w:tcPr>
            <w:tcW w:type="dxa" w:w="2409"/>
            <w:shd w:fill="F5F8FB" w:color="auto" w:val="clear"/>
            <w:tcMar>
              <w:top w:type="dxa" w:w="60"/>
              <w:left w:type="dxa" w:w="110"/>
              <w:bottom w:type="dxa" w:w="60"/>
              <w:right w:type="dxa" w:w="110"/>
            </w:tcMar>
            <w:vAlign w:val="center"/>
          </w:tcPr>
          <w:p>
            <w:pPr>
              <w:spacing w:before="40" w:after="40"/>
            </w:pPr>
          </w:p>
        </w:tc>
        <w:tc>
          <w:tcPr>
            <w:tcW w:type="dxa" w:w="3214"/>
            <w:shd w:fill="F5F8FB" w:color="auto" w:val="clear"/>
            <w:tcMar>
              <w:top w:type="dxa" w:w="60"/>
              <w:left w:type="dxa" w:w="110"/>
              <w:bottom w:type="dxa" w:w="60"/>
              <w:right w:type="dxa" w:w="110"/>
            </w:tcMar>
            <w:vAlign w:val="center"/>
          </w:tcPr>
          <w:p>
            <w:pPr>
              <w:spacing w:before="40" w:after="4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Seçenek 1 – Talebin Kabulü</w:t>
      </w:r>
    </w:p>
    <w:p>
      <w:pPr>
        <w:spacing w:after="120" w:before="0" w:line="300"/>
        <w:jc w:val="both"/>
      </w:pPr>
      <w:r>
        <w:rPr>
          <w:rFonts w:ascii="Calibri" w:cs="Calibri" w:eastAsia="Calibri" w:hAnsi="Calibri"/>
          <w:color w:val="3A4A61"/>
          <w:sz w:val="21"/>
          <w:szCs w:val="21"/>
        </w:rPr>
        <w:t xml:space="preserve">Yapılan inceleme sonucunda, sözleşmelerin yenilenmesini haklı kılacak esaslı bir nedenin belgelenemediği görülmüştür. Bu nedenle iş sözleşmeniz </w:t>
      </w:r>
      <w:r>
        <w:rPr>
          <w:rFonts w:ascii="Calibri" w:cs="Calibri" w:eastAsia="Calibri" w:hAnsi="Calibri"/>
          <w:b/>
          <w:bCs/>
          <w:color w:val="3A4A61"/>
          <w:sz w:val="21"/>
          <w:szCs w:val="21"/>
        </w:rPr>
        <w:t xml:space="preserve">[İlk Sözleşme Başlangıcı] tarihinden itibaren belirsiz süreli</w:t>
      </w:r>
      <w:r>
        <w:rPr>
          <w:rFonts w:ascii="Calibri" w:cs="Calibri" w:eastAsia="Calibri" w:hAnsi="Calibri"/>
          <w:color w:val="3A4A61"/>
          <w:sz w:val="21"/>
          <w:szCs w:val="21"/>
        </w:rPr>
        <w:t xml:space="preserve"> kabul edilmiştir. Bu doğrultuda:</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Kıdeminiz ilk sözleşme başlangıç tarihi esas alınarak hesaplanacak ve kayıtlarımız düzeltilecektir.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Size belirsiz süreli iş sözleşmesi ek protokolü / yeni sözleşme metni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 imzaya sunulacaktır; ücret ve diğer çalışma koşullarınız değişmeyecektir.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Kıdeme bağlı haklarınız (yıllık izin süresi, kıdem tazminatı, ihbar süresi vb.) bu tarih esas alınarak uygulanacaktır.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w:t>
      </w:r>
      <w:r>
        <w:rPr>
          <w:rFonts w:ascii="Calibri" w:cs="Calibri" w:eastAsia="Calibri" w:hAnsi="Calibri"/>
          <w:color w:val="1D5888"/>
          <w:sz w:val="21"/>
          <w:szCs w:val="21"/>
          <w:shd w:fill="EAF1F8" w:color="auto" w:val="clear"/>
        </w:rPr>
        <w:t xml:space="preserve">[__________]</w:t>
      </w:r>
    </w:p>
    <w:p>
      <w:pPr>
        <w:keepNext/>
        <w:pBdr>
          <w:bottom w:val="single" w:color="DCE4EE" w:sz="6" w:space="4"/>
        </w:pBdr>
        <w:spacing w:before="280" w:after="120"/>
      </w:pPr>
      <w:r>
        <w:rPr>
          <w:rFonts w:ascii="Calibri" w:cs="Calibri" w:eastAsia="Calibri" w:hAnsi="Calibri"/>
          <w:b/>
          <w:bCs/>
          <w:color w:val="0E2849"/>
          <w:sz w:val="25"/>
          <w:szCs w:val="25"/>
        </w:rPr>
        <w:t xml:space="preserve">Seçenek 2 – Talebin Reddi (Esaslı Neden Bulunması)</w:t>
      </w:r>
    </w:p>
    <w:p>
      <w:pPr>
        <w:spacing w:after="120" w:before="0" w:line="300"/>
        <w:jc w:val="both"/>
      </w:pPr>
      <w:r>
        <w:rPr>
          <w:rFonts w:ascii="Calibri" w:cs="Calibri" w:eastAsia="Calibri" w:hAnsi="Calibri"/>
          <w:color w:val="3A4A61"/>
          <w:sz w:val="21"/>
          <w:szCs w:val="21"/>
        </w:rPr>
        <w:t xml:space="preserve">Her bir sözleşme, yukarıdaki tabloda gösterildiği üzere objektif ve esaslı bir nedene dayanmaktadır. Bu nedenle sözleşmeleriniz İş Kanunu md. 11/3 uyarınca belirli süreli olma özelliğini korumaktadır. Dayanılan esaslı nedenler:</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Belirli bir projenin / işin süresiyle sınırlı görevlendirme: </w:t>
      </w:r>
      <w:r>
        <w:rPr>
          <w:rFonts w:ascii="Calibri" w:cs="Calibri" w:eastAsia="Calibri" w:hAnsi="Calibri"/>
          <w:color w:val="1D5888"/>
          <w:sz w:val="21"/>
          <w:szCs w:val="21"/>
          <w:shd w:fill="EAF1F8" w:color="auto" w:val="clear"/>
        </w:rPr>
        <w:t xml:space="preserve">[Proje adı, başlangıç ve bitiş tarihleri, sözleşme / ihale / hibe belgesi]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Geçici olarak işten ayrılan çalışanın yerine vekâleten çalıştırma: </w:t>
      </w:r>
      <w:r>
        <w:rPr>
          <w:rFonts w:ascii="Calibri" w:cs="Calibri" w:eastAsia="Calibri" w:hAnsi="Calibri"/>
          <w:color w:val="1D5888"/>
          <w:sz w:val="21"/>
          <w:szCs w:val="21"/>
          <w:shd w:fill="EAF1F8" w:color="auto" w:val="clear"/>
        </w:rPr>
        <w:t xml:space="preserve">[Doğum izni, askerlik, uzun süreli rapor vb. ve ilgili süre]</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Mevsimlik veya dönemsel iş yükü: </w:t>
      </w:r>
      <w:r>
        <w:rPr>
          <w:rFonts w:ascii="Calibri" w:cs="Calibri" w:eastAsia="Calibri" w:hAnsi="Calibri"/>
          <w:color w:val="1D5888"/>
          <w:sz w:val="21"/>
          <w:szCs w:val="21"/>
          <w:shd w:fill="EAF1F8" w:color="auto" w:val="clear"/>
        </w:rPr>
        <w:t xml:space="preserve">[Dönem ve iş yükü verisi]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Süreli kaynağa (hibe, ihale, müşteri sözleşmesi) bağlı istihdam: </w:t>
      </w:r>
      <w:r>
        <w:rPr>
          <w:rFonts w:ascii="Calibri" w:cs="Calibri" w:eastAsia="Calibri" w:hAnsi="Calibri"/>
          <w:color w:val="1D5888"/>
          <w:sz w:val="21"/>
          <w:szCs w:val="21"/>
          <w:shd w:fill="EAF1F8" w:color="auto" w:val="clear"/>
        </w:rPr>
        <w:t xml:space="preserve">[Kaynak ve süresi]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Diğer objektif neden: </w:t>
      </w:r>
      <w:r>
        <w:rPr>
          <w:rFonts w:ascii="Calibri" w:cs="Calibri" w:eastAsia="Calibri" w:hAnsi="Calibri"/>
          <w:color w:val="1D5888"/>
          <w:sz w:val="21"/>
          <w:szCs w:val="21"/>
          <w:shd w:fill="EAF1F8" w:color="auto" w:val="clear"/>
        </w:rPr>
        <w:t xml:space="preserve">[Açıklama]</w:t>
      </w:r>
    </w:p>
    <w:p>
      <w:pPr>
        <w:spacing w:after="120" w:before="0" w:line="300"/>
        <w:jc w:val="both"/>
      </w:pPr>
      <w:r>
        <w:rPr>
          <w:rFonts w:ascii="Calibri" w:cs="Calibri" w:eastAsia="Calibri" w:hAnsi="Calibri"/>
          <w:color w:val="3A4A61"/>
          <w:sz w:val="21"/>
          <w:szCs w:val="21"/>
        </w:rPr>
        <w:t xml:space="preserve">Mevcut sözleşmenizin sona erme tarihi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olup sözleşmenizin süresi boyunca belirsiz süreli emsal çalışanlarla aynı haklardan yararlandırıldığınızı (İş Kanunu md. 12) ayrıca bildiririz.</w:t>
      </w:r>
    </w:p>
    <w:p>
      <w:pPr>
        <w:keepNext/>
        <w:pBdr>
          <w:bottom w:val="single" w:color="DCE4EE" w:sz="6" w:space="4"/>
        </w:pBdr>
        <w:spacing w:before="280" w:after="120"/>
      </w:pPr>
      <w:r>
        <w:rPr>
          <w:rFonts w:ascii="Calibri" w:cs="Calibri" w:eastAsia="Calibri" w:hAnsi="Calibri"/>
          <w:b/>
          <w:bCs/>
          <w:color w:val="0E2849"/>
          <w:sz w:val="25"/>
          <w:szCs w:val="25"/>
        </w:rPr>
        <w:t xml:space="preserve">Seçenek 3 – Kısmi Değerlendirme</w:t>
      </w:r>
    </w:p>
    <w:p>
      <w:pPr>
        <w:spacing w:after="120" w:before="0" w:line="300"/>
        <w:jc w:val="both"/>
      </w:pPr>
      <w:r>
        <w:rPr>
          <w:rFonts w:ascii="Calibri" w:cs="Calibri" w:eastAsia="Calibri" w:hAnsi="Calibri"/>
          <w:color w:val="1D5888"/>
          <w:sz w:val="21"/>
          <w:szCs w:val="21"/>
          <w:shd w:fill="EAF1F8" w:color="auto" w:val="clear"/>
        </w:rPr>
        <w:t xml:space="preserve">[1.]</w:t>
      </w:r>
      <w:r>
        <w:rPr>
          <w:rFonts w:ascii="Calibri" w:cs="Calibri" w:eastAsia="Calibri" w:hAnsi="Calibri"/>
          <w:color w:val="3A4A61"/>
          <w:sz w:val="21"/>
          <w:szCs w:val="21"/>
        </w:rPr>
        <w:t xml:space="preserve"> ve </w:t>
      </w:r>
      <w:r>
        <w:rPr>
          <w:rFonts w:ascii="Calibri" w:cs="Calibri" w:eastAsia="Calibri" w:hAnsi="Calibri"/>
          <w:color w:val="1D5888"/>
          <w:sz w:val="21"/>
          <w:szCs w:val="21"/>
          <w:shd w:fill="EAF1F8" w:color="auto" w:val="clear"/>
        </w:rPr>
        <w:t xml:space="preserve">[2.]</w:t>
      </w:r>
      <w:r>
        <w:rPr>
          <w:rFonts w:ascii="Calibri" w:cs="Calibri" w:eastAsia="Calibri" w:hAnsi="Calibri"/>
          <w:color w:val="3A4A61"/>
          <w:sz w:val="21"/>
          <w:szCs w:val="21"/>
        </w:rPr>
        <w:t xml:space="preserve"> sözleşmeler esaslı nedene dayanmakla birlikte, </w:t>
      </w:r>
      <w:r>
        <w:rPr>
          <w:rFonts w:ascii="Calibri" w:cs="Calibri" w:eastAsia="Calibri" w:hAnsi="Calibri"/>
          <w:color w:val="1D5888"/>
          <w:sz w:val="21"/>
          <w:szCs w:val="21"/>
          <w:shd w:fill="EAF1F8" w:color="auto" w:val="clear"/>
        </w:rPr>
        <w:t xml:space="preserve">[3.]</w:t>
      </w:r>
      <w:r>
        <w:rPr>
          <w:rFonts w:ascii="Calibri" w:cs="Calibri" w:eastAsia="Calibri" w:hAnsi="Calibri"/>
          <w:color w:val="3A4A61"/>
          <w:sz w:val="21"/>
          <w:szCs w:val="21"/>
        </w:rPr>
        <w:t xml:space="preserve"> sözleşmenin yenilenmesi için belgelenmiş bir esaslı neden bulunmamaktadır. Bu nedenle iş ilişkiniz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tarihinden itibaren belirsiz süreli olarak kabul edilmiş ve kayıtlarımız buna göre düzenlenmiştir. Kıdeme bağlı haklarınız bakımından </w:t>
      </w:r>
      <w:r>
        <w:rPr>
          <w:rFonts w:ascii="Calibri" w:cs="Calibri" w:eastAsia="Calibri" w:hAnsi="Calibri"/>
          <w:color w:val="1D5888"/>
          <w:sz w:val="21"/>
          <w:szCs w:val="21"/>
          <w:shd w:fill="EAF1F8" w:color="auto" w:val="clear"/>
        </w:rPr>
        <w:t xml:space="preserve">[ilk sözleşme başlangıç tarihi esas alınacaktır / açıklama: ____]</w:t>
      </w:r>
      <w:r>
        <w:rPr>
          <w:rFonts w:ascii="Calibri" w:cs="Calibri" w:eastAsia="Calibri" w:hAnsi="Calibri"/>
          <w:color w:val="3A4A61"/>
          <w:sz w:val="21"/>
          <w:szCs w:val="21"/>
        </w:rPr>
        <w:t xml:space="preserve">.</w:t>
      </w:r>
    </w:p>
    <w:p>
      <w:pPr>
        <w:keepNext/>
        <w:pBdr>
          <w:bottom w:val="single" w:color="DCE4EE" w:sz="6" w:space="4"/>
        </w:pBdr>
        <w:spacing w:before="280" w:after="120"/>
      </w:pPr>
      <w:r>
        <w:rPr>
          <w:rFonts w:ascii="Calibri" w:cs="Calibri" w:eastAsia="Calibri" w:hAnsi="Calibri"/>
          <w:b/>
          <w:bCs/>
          <w:color w:val="0E2849"/>
          <w:sz w:val="25"/>
          <w:szCs w:val="25"/>
        </w:rPr>
        <w:t xml:space="preserve">Ortak Kapanış</w:t>
      </w:r>
    </w:p>
    <w:p>
      <w:pPr>
        <w:spacing w:after="120" w:before="0" w:line="300"/>
        <w:jc w:val="both"/>
      </w:pPr>
      <w:r>
        <w:rPr>
          <w:rFonts w:ascii="Calibri" w:cs="Calibri" w:eastAsia="Calibri" w:hAnsi="Calibri"/>
          <w:color w:val="3A4A61"/>
          <w:sz w:val="21"/>
          <w:szCs w:val="21"/>
        </w:rPr>
        <w:t xml:space="preserve">Bu yazı talebinize ilişkin şirket değerlendirmesini bildirmek amacıyla düzenlenmiştir; hak arama yoluna başvurmanız aleyhinize bir işleme gerekçe yapılmayacaktır. Saygılarımızla.</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İşveren / Yetkili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İnsan Kaynakları</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120" w:before="0" w:line="300"/>
        <w:jc w:val="both"/>
      </w:pPr>
      <w:r>
        <w:rPr>
          <w:rFonts w:ascii="Calibri" w:cs="Calibri" w:eastAsia="Calibri" w:hAnsi="Calibri"/>
          <w:color w:val="3A4A61"/>
          <w:sz w:val="21"/>
          <w:szCs w:val="21"/>
        </w:rPr>
        <w:t xml:space="preserve">Tebellüğ: Bu yazının bir nüshasını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 aldım. İmza: ............................</w:t>
      </w: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İK İçin İç Kontrol Listesi (İç Kullanım)</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Çalışanla yapılmış tüm sözleşmeler, ekleri ve yenileme yazışmaları tarih sırasıyla dosyalandı.</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Her sözleşmede belirli süre gerekçesinin yazılı olup olmadığı ve bu gerekçenin belgeyle desteklendiği kontrol edildi.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Yenilemeler arasında görev, proje veya işin niteliğinde gerçek bir değişiklik olup olmadığı incelendi.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Görevin işletmenin sürekli ve olağan faaliyetinin parçası olup olmadığı değerlendirildi.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Belirli süreli çalışana emsaline göre ücret, prim, izin veya kıdem bakımından farklı işlem yapılıp yapılmadığı kontrol edildi (md. 5 ve 12).</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Sözleşme süresi bitiminde ayrılış planlanıyorsa, sözleşmenin belirsiz süreli sayılması halinde iş güvencesi ve işe iade riskinin doğabileceği yönetime bildirildi.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Aynı birimde benzer zincirleme sözleşmelerle çalışan başka personel olup olmadığı tarandı ve toplu düzeltme ihtiyacı değerlendirildi.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Kabul halinde personel sicili, kıdem başlangıcı ve izin hakları güncellendi.</w:t>
      </w:r>
    </w:p>
    <w:p>
      <w:pPr>
        <w:spacing w:after="80"/>
        <w:ind w:left="20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Cevap yazısı ispatlanabilir yolla tebliğ edildi; nüshası özlük dosyasına konuldu.</w:t>
      </w: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Hukuki Hatırlatma</w:t>
            </w:r>
          </w:p>
          <w:p>
            <w:pPr>
              <w:spacing w:after="20" w:line="280"/>
            </w:pPr>
            <w:r>
              <w:rPr>
                <w:rFonts w:ascii="Calibri" w:cs="Calibri" w:eastAsia="Calibri" w:hAnsi="Calibri"/>
                <w:color w:val="3A4A61"/>
                <w:sz w:val="19"/>
                <w:szCs w:val="19"/>
              </w:rPr>
              <w:t xml:space="preserve">İş Kanunu md. 11 uyarınca belirli süreli iş sözleşmesi, esaslı bir neden olmadıkça birden fazla üst üste (zincirleme) yapılamaz; aksi halde başlangıçtan itibaren belirsiz süreli kabul edilir. Esaslı nedene dayalı zincirleme sözleşmeler belirli süreli olma özelliğini korur. Esaslı nedenin varlığını belgeyle göstermek uygulamada işverene düşer. Bu şablon genel bilgilendirme amaçlıdır; dava riski bulunan dosyalarda avukatınızla birlikte uyarlayınız.</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CEVAP YAZISI ŞABLONU</w:t>
          </w:r>
          <w:r>
            <w:rPr>
              <w:rFonts w:ascii="Calibri" w:cs="Calibri" w:eastAsia="Calibri" w:hAnsi="Calibri"/>
              <w:color w:val="8C9BB0"/>
              <w:sz w:val="16"/>
              <w:szCs w:val="16"/>
            </w:rPr>
            <w:t xml:space="preserve">  ·  Form No: [İK-C-05]</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Belirsiz Süreli Sözleşme Tespit Talebine İşveren Cevabı</dc:title>
  <dc:creator>İK Partner</dc:creator>
  <dc:description>Belirsiz Süreli Sözleşme Tespit Talebine İşveren Cevabı — İK Partner (ikpartner.com) ücretsiz İK şablonu</dc:description>
  <cp:lastModifiedBy>Un-named</cp:lastModifiedBy>
  <cp:revision>1</cp:revision>
  <dcterms:created xsi:type="dcterms:W3CDTF">2026-10-13T21:34:47.000Z</dcterms:created>
  <dcterms:modified xsi:type="dcterms:W3CDTF">2026-10-13T21:34:47.003Z</dcterms:modified>
</cp:coreProperties>
</file>

<file path=docProps/custom.xml><?xml version="1.0" encoding="utf-8"?>
<Properties xmlns="http://schemas.openxmlformats.org/officeDocument/2006/custom-properties" xmlns:vt="http://schemas.openxmlformats.org/officeDocument/2006/docPropsVTypes"/>
</file>